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  <w:r>
        <w:rPr>
          <w:rFonts w:hint="eastAsia"/>
          <w:color w:val="auto"/>
        </w:rPr>
        <w:t>附表2  宁夏贺兰山东麓葡萄酒产业高质量发展“十四五”规划和2035年远景目标——低产低效园升级改造规划表  单位</w:t>
      </w:r>
      <w:r>
        <w:rPr>
          <w:color w:val="auto"/>
        </w:rPr>
        <w:t>：万亩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093"/>
        <w:gridCol w:w="2920"/>
        <w:gridCol w:w="5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市、县（区）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规划面积</w:t>
            </w:r>
          </w:p>
        </w:tc>
        <w:tc>
          <w:tcPr>
            <w:tcW w:w="19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合计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20.00 </w:t>
            </w:r>
          </w:p>
        </w:tc>
        <w:tc>
          <w:tcPr>
            <w:tcW w:w="1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2025年前改造完成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银川市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9.00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1.1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金凤区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0.10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1.2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西夏区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2.00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1.3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永宁县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4.00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1.4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贺兰县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2.90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吴忠市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9.20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2.1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青铜峡市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4.00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2.2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红寺堡区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4.70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2.3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同心县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0.50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农垦集团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1.80 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b/>
          <w:color w:val="auto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3"/>
    <w:rsid w:val="003711F2"/>
    <w:rsid w:val="006435B3"/>
    <w:rsid w:val="006A14E7"/>
    <w:rsid w:val="00724F27"/>
    <w:rsid w:val="009C1913"/>
    <w:rsid w:val="2DAFAC61"/>
    <w:rsid w:val="3DED1BE7"/>
    <w:rsid w:val="3EAF483C"/>
    <w:rsid w:val="69993513"/>
    <w:rsid w:val="DB6C9A66"/>
    <w:rsid w:val="F1DB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941</Words>
  <Characters>5365</Characters>
  <Lines>44</Lines>
  <Paragraphs>12</Paragraphs>
  <TotalTime>2</TotalTime>
  <ScaleCrop>false</ScaleCrop>
  <LinksUpToDate>false</LinksUpToDate>
  <CharactersWithSpaces>6294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2022-01-19T19:08:00Z</dcterms:created>
  <dc:creator>Administrator</dc:creator>
  <cp:lastModifiedBy>Administrator</cp:lastModifiedBy>
  <cp:lastPrinted>2022-01-19T19:24:00Z</cp:lastPrinted>
  <dcterms:modified xsi:type="dcterms:W3CDTF">2022-02-08T08:48:27Z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BFEF12A40C064CE0AF286565E622E4EC</vt:lpwstr>
  </property>
</Properties>
</file>