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15" w:rsidRDefault="00085815" w:rsidP="00085815">
      <w:pPr>
        <w:spacing w:line="600" w:lineRule="exac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附件1</w:t>
      </w:r>
    </w:p>
    <w:p w:rsidR="00085815" w:rsidRDefault="00085815" w:rsidP="00085815">
      <w:pPr>
        <w:spacing w:line="60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宁夏中药材产区主要生态特征指标</w:t>
      </w:r>
    </w:p>
    <w:p w:rsidR="00085815" w:rsidRDefault="00085815" w:rsidP="00085815">
      <w:pPr>
        <w:spacing w:line="600" w:lineRule="exact"/>
        <w:ind w:firstLineChars="200" w:firstLine="640"/>
        <w:rPr>
          <w:rFonts w:ascii="仿宋_GB2312" w:hAnsi="仿宋" w:cs="仿宋"/>
          <w:szCs w:val="32"/>
        </w:rPr>
      </w:pPr>
    </w:p>
    <w:p w:rsidR="00085815" w:rsidRDefault="00085815" w:rsidP="00085815">
      <w:pPr>
        <w:spacing w:line="60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Ansi="仿宋" w:cs="仿宋" w:hint="eastAsia"/>
          <w:szCs w:val="32"/>
        </w:rPr>
        <w:t>按照宁夏中药材产地适应性原则，同时考虑地貌、气候及水文等因素将宁夏中药材产区划分为三个大区：六盘山中药材生产区、沙旱生中药材生产区和引黄灌区中药材生产区。</w:t>
      </w:r>
    </w:p>
    <w:tbl>
      <w:tblPr>
        <w:tblpPr w:leftFromText="180" w:rightFromText="180" w:vertAnchor="text" w:horzAnchor="margin" w:tblpXSpec="center" w:tblpY="302"/>
        <w:tblOverlap w:val="never"/>
        <w:tblW w:w="8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2315"/>
        <w:gridCol w:w="2227"/>
        <w:gridCol w:w="2285"/>
      </w:tblGrid>
      <w:tr w:rsidR="00085815" w:rsidTr="00F526C2">
        <w:trPr>
          <w:trHeight w:val="847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</w:rPr>
              <w:t>项 目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shd w:val="clear" w:color="auto" w:fill="FFFFFF"/>
              </w:rPr>
              <w:t>六盘山</w:t>
            </w:r>
          </w:p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shd w:val="clear" w:color="auto" w:fill="FFFFFF"/>
              </w:rPr>
              <w:t>中药材生产区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shd w:val="clear" w:color="auto" w:fill="FFFFFF"/>
              </w:rPr>
              <w:t>沙旱生</w:t>
            </w:r>
          </w:p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shd w:val="clear" w:color="auto" w:fill="FFFFFF"/>
              </w:rPr>
              <w:t>中药材生产区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shd w:val="clear" w:color="auto" w:fill="FFFFFF"/>
              </w:rPr>
              <w:t>引黄灌区</w:t>
            </w:r>
          </w:p>
          <w:p w:rsidR="00085815" w:rsidRDefault="00085815" w:rsidP="00F526C2">
            <w:pPr>
              <w:spacing w:line="400" w:lineRule="exact"/>
              <w:jc w:val="center"/>
              <w:rPr>
                <w:rFonts w:ascii="黑体" w:eastAsia="黑体" w:hAnsi="黑体" w:cs="仿宋"/>
                <w:sz w:val="28"/>
                <w:szCs w:val="28"/>
              </w:rPr>
            </w:pPr>
            <w:r>
              <w:rPr>
                <w:rFonts w:ascii="黑体" w:eastAsia="黑体" w:hAnsi="黑体" w:cs="仿宋" w:hint="eastAsia"/>
                <w:sz w:val="28"/>
                <w:szCs w:val="28"/>
                <w:shd w:val="clear" w:color="auto" w:fill="FFFFFF"/>
              </w:rPr>
              <w:t>中药材生产区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主要地域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隆德县、彭阳县、泾源县、西吉县、原州区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盐池县、灵武市、红寺堡区、同心县、海原县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惠农区、平罗县、贺兰县、永宁县、利通区、中宁县、沙坡头区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地貌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黄土丘陵沟壑区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/>
                <w:sz w:val="28"/>
                <w:szCs w:val="28"/>
              </w:rPr>
              <w:t>中温带干旱气候区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黄河冲积平原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气候带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温暖带半湿润区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大陆气候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中温带干旱区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年均温（℃）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6.2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8.7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8-9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" w:hAnsi="仿宋" w:cs="仿宋" w:hint="eastAsia"/>
                <w:b/>
                <w:sz w:val="28"/>
                <w:szCs w:val="28"/>
              </w:rPr>
              <w:t>≧</w:t>
            </w: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10℃年积温（℃）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ind w:firstLineChars="200" w:firstLine="56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1846.6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3200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3200-3400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无霜期（天）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ind w:firstLineChars="200" w:firstLine="56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90—130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150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164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proofErr w:type="gramStart"/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年照时数</w:t>
            </w:r>
            <w:proofErr w:type="gramEnd"/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（小时）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ind w:firstLineChars="200" w:firstLine="56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2100—2400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ind w:firstLineChars="200" w:firstLine="56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2750—3000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ind w:firstLineChars="200" w:firstLine="560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2800—3000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平均降雨量（mm）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290—630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200—400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40" w:lineRule="exact"/>
              <w:jc w:val="center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180—200</w:t>
            </w:r>
          </w:p>
        </w:tc>
      </w:tr>
      <w:tr w:rsidR="00085815" w:rsidTr="00F526C2">
        <w:trPr>
          <w:trHeight w:val="454"/>
        </w:trPr>
        <w:tc>
          <w:tcPr>
            <w:tcW w:w="1951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jc w:val="center"/>
              <w:rPr>
                <w:rFonts w:ascii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hAnsi="仿宋" w:cs="仿宋" w:hint="eastAsia"/>
                <w:b/>
                <w:sz w:val="28"/>
                <w:szCs w:val="28"/>
              </w:rPr>
              <w:t>主要适宜品种</w:t>
            </w:r>
          </w:p>
        </w:tc>
        <w:tc>
          <w:tcPr>
            <w:tcW w:w="231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黄芪、党参、板蓝根、柴胡、秦艽、黄芩、大黄、山杏、山桃、芍药、红花等</w:t>
            </w:r>
          </w:p>
        </w:tc>
        <w:tc>
          <w:tcPr>
            <w:tcW w:w="2227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甘草、麻黄、银柴胡、黄芪、红花、枸杞、小茴香、射干等</w:t>
            </w:r>
          </w:p>
        </w:tc>
        <w:tc>
          <w:tcPr>
            <w:tcW w:w="2285" w:type="dxa"/>
            <w:shd w:val="clear" w:color="000000" w:fill="FFFFFF"/>
            <w:noWrap/>
            <w:tcMar>
              <w:left w:w="108" w:type="dxa"/>
              <w:right w:w="108" w:type="dxa"/>
            </w:tcMar>
            <w:vAlign w:val="center"/>
          </w:tcPr>
          <w:p w:rsidR="00085815" w:rsidRDefault="00085815" w:rsidP="00F526C2">
            <w:pPr>
              <w:spacing w:line="400" w:lineRule="exact"/>
              <w:rPr>
                <w:rFonts w:ascii="仿宋_GB2312" w:hAnsi="仿宋" w:cs="仿宋"/>
                <w:sz w:val="28"/>
                <w:szCs w:val="28"/>
              </w:rPr>
            </w:pPr>
            <w:r>
              <w:rPr>
                <w:rFonts w:ascii="仿宋_GB2312" w:hAnsi="仿宋" w:cs="仿宋" w:hint="eastAsia"/>
                <w:sz w:val="28"/>
                <w:szCs w:val="28"/>
              </w:rPr>
              <w:t>枸杞、红花等</w:t>
            </w:r>
          </w:p>
        </w:tc>
      </w:tr>
    </w:tbl>
    <w:p w:rsidR="00085815" w:rsidRDefault="00085815" w:rsidP="00085815">
      <w:pPr>
        <w:spacing w:line="600" w:lineRule="exact"/>
        <w:rPr>
          <w:rFonts w:ascii="黑体" w:eastAsia="黑体" w:hAnsi="黑体"/>
          <w:szCs w:val="32"/>
        </w:rPr>
      </w:pPr>
    </w:p>
    <w:sectPr w:rsidR="00085815" w:rsidSect="00163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5815"/>
    <w:rsid w:val="00085815"/>
    <w:rsid w:val="0016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85815"/>
    <w:pPr>
      <w:widowControl w:val="0"/>
      <w:jc w:val="both"/>
    </w:pPr>
    <w:rPr>
      <w:rFonts w:ascii="Calibri" w:eastAsia="仿宋_GB2312" w:hAnsi="Calibri" w:cs="Times New Roman"/>
      <w:sz w:val="32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85815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semiHidden/>
    <w:rsid w:val="00085815"/>
    <w:rPr>
      <w:rFonts w:ascii="Calibri" w:eastAsia="仿宋_GB2312" w:hAnsi="Calibri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>Sky123.Org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2021-11-03T07:59:00Z</dcterms:created>
  <dcterms:modified xsi:type="dcterms:W3CDTF">2021-11-03T08:01:00Z</dcterms:modified>
</cp:coreProperties>
</file>