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5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附件4          </w:t>
      </w:r>
    </w:p>
    <w:p>
      <w:pPr>
        <w:tabs>
          <w:tab w:val="left" w:pos="1925"/>
        </w:tabs>
        <w:jc w:val="center"/>
        <w:rPr>
          <w:rFonts w:hint="eastAsia" w:ascii="黑体" w:hAnsi="黑体" w:eastAsia="黑体" w:cs="黑体"/>
          <w:spacing w:val="6"/>
          <w:kern w:val="0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自治区重点入黄排水沟水质</w:t>
      </w:r>
      <w:r>
        <w:rPr>
          <w:rFonts w:hint="eastAsia" w:ascii="方正小标宋_GBK" w:hAnsi="黑体" w:eastAsia="方正小标宋_GBK" w:cs="黑体"/>
          <w:spacing w:val="6"/>
          <w:kern w:val="0"/>
          <w:sz w:val="44"/>
          <w:szCs w:val="44"/>
        </w:rPr>
        <w:t>目标表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620"/>
        <w:gridCol w:w="1377"/>
        <w:gridCol w:w="186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城市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流域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排水沟名称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2014年水质现状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2018年水质目标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60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银川—入黄口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四二干沟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60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银川—入黄口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银新干沟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60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银川—入黄口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第二排水沟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60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银川—入黄口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永二干沟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银川—入黄口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中干沟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银川—入黄口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灵武东沟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石嘴山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石嘴山—入黄口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第三、五排水沟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吴忠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吴忠—入黄口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南干沟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吴忠—入黄口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清水沟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吴忠-入黄口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  <w:szCs w:val="22"/>
              </w:rPr>
              <w:t>罗家河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中卫—入黄口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  <w:szCs w:val="22"/>
              </w:rPr>
              <w:t>中卫市第四排水沟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劣Ⅴ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widowControl/>
              <w:ind w:left="359" w:firstLine="440" w:firstLineChars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中宁-入黄口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中宁县北河子沟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</w:tr>
    </w:tbl>
    <w:p/>
    <w:p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474" w:bottom="1701" w:left="1588" w:header="851" w:footer="992" w:gutter="0"/>
          <w:pgNumType w:start="1"/>
          <w:cols w:space="720" w:num="1"/>
          <w:titlePg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68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45D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