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4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5"/>
        <w:gridCol w:w="735"/>
        <w:gridCol w:w="3199"/>
        <w:gridCol w:w="863"/>
        <w:gridCol w:w="1117"/>
        <w:gridCol w:w="983"/>
        <w:gridCol w:w="1094"/>
        <w:gridCol w:w="118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黑体" w:hAnsi="黑体" w:eastAsia="黑体" w:cs="仿宋"/>
                <w:b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Cs w:val="32"/>
                <w:lang w:bidi="ar"/>
              </w:rPr>
              <w:t>附件4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9748" w:type="dxa"/>
            <w:gridSpan w:val="8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小标宋_GBK" w:hAnsi="宋体" w:eastAsia="方正小标宋_GBK" w:cs="宋体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4"/>
                <w:szCs w:val="44"/>
                <w:lang w:bidi="ar"/>
              </w:rPr>
              <w:t>运输结构调整工作监测分析表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9748" w:type="dxa"/>
            <w:gridSpan w:val="8"/>
            <w:vMerge w:val="restart"/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Style w:val="4"/>
                <w:rFonts w:hint="default"/>
                <w:color w:val="auto"/>
                <w:lang w:bidi="ar"/>
              </w:rPr>
              <w:t xml:space="preserve">省份       </w:t>
            </w:r>
            <w:r>
              <w:rPr>
                <w:rStyle w:val="5"/>
                <w:rFonts w:hint="default"/>
                <w:color w:val="auto"/>
                <w:lang w:bidi="ar"/>
              </w:rPr>
              <w:t xml:space="preserve">                     </w:t>
            </w:r>
            <w:r>
              <w:rPr>
                <w:rStyle w:val="4"/>
                <w:rFonts w:hint="default"/>
                <w:color w:val="auto"/>
                <w:lang w:bidi="ar"/>
              </w:rPr>
              <w:t xml:space="preserve">           填报日期   </w:t>
            </w:r>
            <w:r>
              <w:rPr>
                <w:rStyle w:val="5"/>
                <w:rFonts w:hint="default"/>
                <w:color w:val="auto"/>
                <w:lang w:bidi="ar"/>
              </w:rPr>
              <w:t xml:space="preserve">                     </w:t>
            </w:r>
            <w:r>
              <w:rPr>
                <w:rStyle w:val="5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4"/>
                <w:rFonts w:hint="default"/>
                <w:color w:val="auto"/>
                <w:lang w:bidi="ar"/>
              </w:rPr>
              <w:t xml:space="preserve">填报部门   </w:t>
            </w:r>
            <w:r>
              <w:rPr>
                <w:rStyle w:val="5"/>
                <w:rFonts w:hint="default"/>
                <w:color w:val="auto"/>
                <w:lang w:bidi="ar"/>
              </w:rPr>
              <w:t xml:space="preserve">                     </w:t>
            </w:r>
            <w:r>
              <w:rPr>
                <w:rStyle w:val="4"/>
                <w:rFonts w:hint="default"/>
                <w:color w:val="auto"/>
                <w:lang w:bidi="ar"/>
              </w:rPr>
              <w:t xml:space="preserve">  </w:t>
            </w:r>
            <w:r>
              <w:rPr>
                <w:rStyle w:val="4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4"/>
                <w:rFonts w:hint="default"/>
                <w:color w:val="auto"/>
                <w:lang w:bidi="ar"/>
              </w:rPr>
              <w:t xml:space="preserve">联系人     </w:t>
            </w:r>
            <w:r>
              <w:rPr>
                <w:rStyle w:val="5"/>
                <w:rFonts w:hint="default"/>
                <w:color w:val="auto"/>
                <w:lang w:bidi="ar"/>
              </w:rPr>
              <w:t xml:space="preserve">                     </w:t>
            </w:r>
            <w:r>
              <w:rPr>
                <w:rStyle w:val="4"/>
                <w:rFonts w:hint="default"/>
                <w:color w:val="auto"/>
                <w:lang w:bidi="ar"/>
              </w:rPr>
              <w:t xml:space="preserve">           联系电话   </w:t>
            </w:r>
            <w:r>
              <w:rPr>
                <w:rStyle w:val="5"/>
                <w:rFonts w:hint="default"/>
                <w:color w:val="auto"/>
                <w:lang w:bidi="ar"/>
              </w:rPr>
              <w:t xml:space="preserve">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9748" w:type="dxa"/>
            <w:gridSpan w:val="8"/>
            <w:vMerge w:val="continue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9748" w:type="dxa"/>
            <w:gridSpan w:val="8"/>
            <w:vMerge w:val="continue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9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2017年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完成量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2018年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完成量</w:t>
            </w: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2019年-2020年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当季   完成量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年度累计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完成量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铁路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货运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量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铁路货运总量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万吨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 Black"/>
                <w:sz w:val="24"/>
                <w:szCs w:val="24"/>
              </w:rPr>
            </w:pPr>
            <w:r>
              <w:rPr>
                <w:rFonts w:ascii="仿宋" w:hAnsi="仿宋" w:eastAsia="仿宋" w:cs="Arial Black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其中：国家铁路货运量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万吨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 Black"/>
                <w:sz w:val="24"/>
                <w:szCs w:val="24"/>
              </w:rPr>
            </w:pPr>
            <w:r>
              <w:rPr>
                <w:rFonts w:ascii="仿宋" w:hAnsi="仿宋" w:eastAsia="仿宋" w:cs="Arial Black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国家能源投资集团铁路货运量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万吨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 Black"/>
                <w:sz w:val="24"/>
                <w:szCs w:val="24"/>
              </w:rPr>
            </w:pPr>
            <w:r>
              <w:rPr>
                <w:rFonts w:ascii="仿宋" w:hAnsi="仿宋" w:eastAsia="仿宋" w:cs="Arial Black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其他铁路货运量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万吨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 Black"/>
                <w:sz w:val="24"/>
                <w:szCs w:val="24"/>
              </w:rPr>
            </w:pPr>
            <w:r>
              <w:rPr>
                <w:rFonts w:ascii="仿宋" w:hAnsi="仿宋" w:eastAsia="仿宋" w:cs="Arial Black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集装箱公铁联运量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万TEU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集装箱铁水联运量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万TEU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大型工矿企业（大宗货物年运输量150万吨以上，下同）数量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接入铁路专用线的大型工矿企业数量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城市建成区新增和更新轻型物流配送车辆数量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万辆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城市建成区新增和更新轻型物流配送车辆数量（新能源车辆和达到国六排放标准的清洁能源车辆）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万辆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 Black"/>
                <w:sz w:val="24"/>
                <w:szCs w:val="24"/>
              </w:rPr>
            </w:pPr>
            <w:r>
              <w:rPr>
                <w:rFonts w:ascii="仿宋" w:hAnsi="仿宋" w:eastAsia="仿宋" w:cs="Arial Black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高速公路货运车辆超限超载率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 Black"/>
                <w:sz w:val="24"/>
                <w:szCs w:val="24"/>
              </w:rPr>
            </w:pPr>
            <w:r>
              <w:rPr>
                <w:rFonts w:ascii="仿宋" w:hAnsi="仿宋" w:eastAsia="仿宋" w:cs="Arial Black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9748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注：2018年完成量仅需在2019年1月15日上报时一次填写，之后不再填写；“—”表示不需填写。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D65FA"/>
    <w:rsid w:val="79C4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01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 Vinci</cp:lastModifiedBy>
  <dcterms:modified xsi:type="dcterms:W3CDTF">2019-03-21T01:56:34Z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