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
          <w:szCs w:val="32"/>
        </w:rPr>
      </w:pPr>
      <w:r>
        <w:rPr>
          <w:rFonts w:hint="eastAsia" w:ascii="黑体" w:hAnsi="黑体" w:eastAsia="黑体" w:cs="仿宋"/>
          <w:szCs w:val="32"/>
        </w:rPr>
        <w:t>附件1</w:t>
      </w:r>
    </w:p>
    <w:p>
      <w:pPr>
        <w:spacing w:line="780" w:lineRule="exact"/>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宁夏回族自治区公路转铁路运输重点项目推进表</w:t>
      </w:r>
    </w:p>
    <w:tbl>
      <w:tblPr>
        <w:tblStyle w:val="4"/>
        <w:tblW w:w="13796" w:type="dxa"/>
        <w:jc w:val="center"/>
        <w:tblInd w:w="0" w:type="dxa"/>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3"/>
        <w:gridCol w:w="3684"/>
        <w:gridCol w:w="2142"/>
        <w:gridCol w:w="5511"/>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6" w:type="dxa"/>
            <w:vMerge w:val="restart"/>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b w:val="0"/>
                <w:bCs/>
                <w:kern w:val="0"/>
                <w:sz w:val="24"/>
                <w:szCs w:val="24"/>
              </w:rPr>
            </w:pPr>
            <w:r>
              <w:rPr>
                <w:rFonts w:hint="eastAsia" w:ascii="仿宋" w:hAnsi="仿宋" w:eastAsia="仿宋" w:cs="仿宋"/>
                <w:b w:val="0"/>
                <w:bCs/>
                <w:kern w:val="0"/>
                <w:sz w:val="24"/>
                <w:szCs w:val="24"/>
              </w:rPr>
              <w:t>序号</w:t>
            </w:r>
          </w:p>
        </w:tc>
        <w:tc>
          <w:tcPr>
            <w:tcW w:w="1693" w:type="dxa"/>
            <w:vMerge w:val="restart"/>
            <w:tcBorders>
              <w:top w:val="single" w:color="auto" w:sz="8"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仿宋"/>
                <w:b w:val="0"/>
                <w:bCs/>
                <w:kern w:val="0"/>
                <w:sz w:val="24"/>
                <w:szCs w:val="24"/>
              </w:rPr>
            </w:pPr>
            <w:r>
              <w:rPr>
                <w:rFonts w:hint="eastAsia" w:ascii="仿宋" w:hAnsi="仿宋" w:eastAsia="仿宋" w:cs="仿宋"/>
                <w:b w:val="0"/>
                <w:bCs/>
                <w:kern w:val="0"/>
                <w:sz w:val="24"/>
                <w:szCs w:val="24"/>
              </w:rPr>
              <w:t>项目名称</w:t>
            </w:r>
          </w:p>
        </w:tc>
        <w:tc>
          <w:tcPr>
            <w:tcW w:w="3684"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b w:val="0"/>
                <w:bCs/>
                <w:kern w:val="0"/>
                <w:sz w:val="24"/>
                <w:szCs w:val="24"/>
              </w:rPr>
            </w:pPr>
            <w:r>
              <w:rPr>
                <w:rFonts w:hint="eastAsia" w:ascii="仿宋" w:hAnsi="仿宋" w:eastAsia="仿宋" w:cs="仿宋"/>
                <w:b w:val="0"/>
                <w:bCs/>
                <w:kern w:val="0"/>
                <w:sz w:val="24"/>
                <w:szCs w:val="24"/>
              </w:rPr>
              <w:t>现状及存在问题</w:t>
            </w:r>
          </w:p>
        </w:tc>
        <w:tc>
          <w:tcPr>
            <w:tcW w:w="2142" w:type="dxa"/>
            <w:vMerge w:val="restart"/>
            <w:tcBorders>
              <w:top w:val="single" w:color="auto" w:sz="8"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仿宋"/>
                <w:b w:val="0"/>
                <w:bCs/>
                <w:kern w:val="0"/>
                <w:sz w:val="24"/>
                <w:szCs w:val="24"/>
              </w:rPr>
            </w:pPr>
            <w:r>
              <w:rPr>
                <w:rFonts w:hint="eastAsia" w:ascii="仿宋" w:hAnsi="仿宋" w:eastAsia="仿宋" w:cs="仿宋"/>
                <w:b w:val="0"/>
                <w:bCs/>
                <w:kern w:val="0"/>
                <w:sz w:val="24"/>
                <w:szCs w:val="24"/>
              </w:rPr>
              <w:t>阶段公转铁目标</w:t>
            </w:r>
          </w:p>
        </w:tc>
        <w:tc>
          <w:tcPr>
            <w:tcW w:w="5511"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b w:val="0"/>
                <w:bCs/>
                <w:kern w:val="0"/>
                <w:sz w:val="24"/>
                <w:szCs w:val="24"/>
              </w:rPr>
            </w:pPr>
            <w:r>
              <w:rPr>
                <w:rFonts w:hint="eastAsia" w:ascii="仿宋" w:hAnsi="仿宋" w:eastAsia="仿宋" w:cs="仿宋"/>
                <w:b w:val="0"/>
                <w:bCs/>
                <w:kern w:val="0"/>
                <w:sz w:val="24"/>
                <w:szCs w:val="24"/>
              </w:rPr>
              <w:t>项目推进计划</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66"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仿宋" w:hAnsi="仿宋" w:eastAsia="仿宋" w:cs="仿宋"/>
                <w:b w:val="0"/>
                <w:bCs/>
                <w:kern w:val="0"/>
                <w:sz w:val="24"/>
                <w:szCs w:val="24"/>
              </w:rPr>
            </w:pPr>
          </w:p>
        </w:tc>
        <w:tc>
          <w:tcPr>
            <w:tcW w:w="1693"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val="0"/>
                <w:bCs/>
                <w:kern w:val="0"/>
                <w:sz w:val="24"/>
                <w:szCs w:val="24"/>
              </w:rPr>
            </w:pPr>
          </w:p>
        </w:tc>
        <w:tc>
          <w:tcPr>
            <w:tcW w:w="3684"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val="0"/>
                <w:bCs/>
                <w:kern w:val="0"/>
                <w:sz w:val="24"/>
                <w:szCs w:val="24"/>
              </w:rPr>
            </w:pPr>
          </w:p>
        </w:tc>
        <w:tc>
          <w:tcPr>
            <w:tcW w:w="2142"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val="0"/>
                <w:bCs/>
                <w:kern w:val="0"/>
                <w:sz w:val="24"/>
                <w:szCs w:val="24"/>
              </w:rPr>
            </w:pPr>
          </w:p>
        </w:tc>
        <w:tc>
          <w:tcPr>
            <w:tcW w:w="5511"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val="0"/>
                <w:bCs/>
                <w:kern w:val="0"/>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jc w:val="center"/>
        </w:trPr>
        <w:tc>
          <w:tcPr>
            <w:tcW w:w="766" w:type="dxa"/>
            <w:tcBorders>
              <w:left w:val="single" w:color="auto" w:sz="8" w:space="0"/>
              <w:bottom w:val="single" w:color="auto" w:sz="4" w:space="0"/>
              <w:right w:val="single" w:color="auto" w:sz="4" w:space="0"/>
            </w:tcBorders>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693" w:type="dxa"/>
            <w:tcBorders>
              <w:left w:val="single" w:color="auto" w:sz="4" w:space="0"/>
              <w:bottom w:val="single" w:color="auto" w:sz="4" w:space="0"/>
              <w:right w:val="single" w:color="auto" w:sz="4" w:space="0"/>
            </w:tcBorders>
            <w:noWrap w:val="0"/>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神华宁夏煤业集团有限责任公司</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2018年年产烟块煤143万吨，其中地铁运输20万吨，国铁运输计划20万吨，其余全部为地销。烟混块煤市场销售地区主要为宁夏周边地区、甘肃、西南（成都局、昆明局）。根据目前环保要求，烟块煤采用集装箱运输需求目前凸显，但宁煤各矿专用线无集装箱运输条件。</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150"/>
              <w:jc w:val="left"/>
              <w:rPr>
                <w:rFonts w:ascii="仿宋" w:hAnsi="仿宋" w:eastAsia="仿宋" w:cs="仿宋"/>
                <w:kern w:val="0"/>
                <w:sz w:val="24"/>
                <w:szCs w:val="24"/>
              </w:rPr>
            </w:pPr>
            <w:r>
              <w:rPr>
                <w:rFonts w:hint="eastAsia" w:ascii="仿宋" w:hAnsi="仿宋" w:eastAsia="仿宋" w:cs="仿宋"/>
                <w:kern w:val="0"/>
                <w:sz w:val="24"/>
                <w:szCs w:val="24"/>
              </w:rPr>
              <w:t>2018年加强运输组织和服务，实现发运增量20万吨。</w:t>
            </w:r>
          </w:p>
          <w:p>
            <w:pPr>
              <w:widowControl/>
              <w:spacing w:line="300" w:lineRule="exact"/>
              <w:ind w:firstLine="360" w:firstLineChars="150"/>
              <w:jc w:val="left"/>
              <w:rPr>
                <w:rFonts w:ascii="仿宋" w:hAnsi="仿宋" w:eastAsia="仿宋" w:cs="仿宋"/>
                <w:kern w:val="0"/>
                <w:sz w:val="24"/>
                <w:szCs w:val="24"/>
              </w:rPr>
            </w:pPr>
            <w:r>
              <w:rPr>
                <w:rFonts w:hint="eastAsia" w:ascii="仿宋" w:hAnsi="仿宋" w:eastAsia="仿宋" w:cs="仿宋"/>
                <w:kern w:val="0"/>
                <w:sz w:val="24"/>
                <w:szCs w:val="24"/>
              </w:rPr>
              <w:t>2019年，做好运输物流服务，实现发运增量10万吨。</w:t>
            </w:r>
          </w:p>
          <w:p>
            <w:pPr>
              <w:widowControl/>
              <w:spacing w:line="300" w:lineRule="exact"/>
              <w:ind w:firstLine="360" w:firstLineChars="150"/>
              <w:jc w:val="left"/>
              <w:rPr>
                <w:rFonts w:ascii="仿宋" w:hAnsi="仿宋" w:eastAsia="仿宋" w:cs="仿宋"/>
                <w:kern w:val="0"/>
                <w:sz w:val="24"/>
                <w:szCs w:val="24"/>
              </w:rPr>
            </w:pPr>
            <w:r>
              <w:rPr>
                <w:rFonts w:hint="eastAsia" w:ascii="仿宋" w:hAnsi="仿宋" w:eastAsia="仿宋" w:cs="仿宋"/>
                <w:kern w:val="0"/>
                <w:sz w:val="24"/>
                <w:szCs w:val="24"/>
              </w:rPr>
              <w:t>2020年实现稳定运输。</w:t>
            </w:r>
          </w:p>
        </w:tc>
        <w:tc>
          <w:tcPr>
            <w:tcW w:w="551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第一阶段（2018年12月）：由自治区工业和信息化厅牵头，组织公安厅、交通运输厅，银川市工信局、公安局，交通局，西部创业公司、中国铁路兰州局集团有限公司召开联席会议，确定项目推进的阶段目标及各部门责任，同时协调解决西部创业公司宁东铁路取送车效率问题。</w:t>
            </w:r>
          </w:p>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第二阶段（2019年3月）：中国铁路兰州局集团有限公司会同企业进行市场调研，形成合理运输方案；在宁煤宁东块煤生产量较大的矿区专用线，改造符合集装箱装卸能力及集装箱堆码场地条件的专用线（主要使用35T敞顶箱和20英尺自备箱）。按公转铁“一企一策”推进计划分阶段推进实施。</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76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宁夏伊利乳业有限公司</w:t>
            </w:r>
          </w:p>
        </w:tc>
        <w:tc>
          <w:tcPr>
            <w:tcW w:w="36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公路运输大部分可直接到达销售终端客户，铁路运输由于开行“点到点”班列，集中到达量大，公路倒短增加了运输成本，铁路运输高于公路运输。 </w:t>
            </w:r>
          </w:p>
        </w:tc>
        <w:tc>
          <w:tcPr>
            <w:tcW w:w="21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2018年发运增量4万吨。</w:t>
            </w:r>
          </w:p>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2019年发运增量4万吨。</w:t>
            </w:r>
          </w:p>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2020年发运增量4万吨。</w:t>
            </w:r>
          </w:p>
        </w:tc>
        <w:tc>
          <w:tcPr>
            <w:tcW w:w="551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第一阶段（2018年）：中国铁路兰州局集团有限公司会同企业进行市场调研，形成合理运输方案；提高物流服务质量，实现发运增量4万吨。</w:t>
            </w:r>
          </w:p>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第二阶段（2019年）：中国铁路兰州局集团有限公司会同企业进行市场调研，形成合理运输方案；提高物流服务质量，实现发运增量4万吨。</w:t>
            </w:r>
          </w:p>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第三阶段（2020年）：实现发运增量4万吨。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jc w:val="center"/>
        </w:trPr>
        <w:tc>
          <w:tcPr>
            <w:tcW w:w="766" w:type="dxa"/>
            <w:tcBorders>
              <w:top w:val="single" w:color="auto" w:sz="4" w:space="0"/>
              <w:left w:val="single" w:color="auto" w:sz="8" w:space="0"/>
              <w:bottom w:val="single" w:color="auto" w:sz="4" w:space="0"/>
              <w:right w:val="single" w:color="auto" w:sz="4" w:space="0"/>
            </w:tcBorders>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cs="仿宋"/>
                <w:kern w:val="0"/>
                <w:sz w:val="24"/>
                <w:szCs w:val="24"/>
              </w:rPr>
            </w:pPr>
            <w:r>
              <w:rPr>
                <w:rFonts w:hint="eastAsia" w:ascii="仿宋" w:hAnsi="仿宋" w:eastAsia="仿宋" w:cs="仿宋"/>
                <w:sz w:val="24"/>
                <w:szCs w:val="24"/>
              </w:rPr>
              <w:t>华电宁夏灵武发电有限公司</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kern w:val="0"/>
                <w:sz w:val="24"/>
                <w:szCs w:val="24"/>
              </w:rPr>
            </w:pPr>
            <w:r>
              <w:rPr>
                <w:rFonts w:hint="eastAsia" w:ascii="仿宋" w:hAnsi="仿宋" w:eastAsia="仿宋" w:cs="仿宋"/>
                <w:sz w:val="24"/>
                <w:szCs w:val="24"/>
              </w:rPr>
              <w:t xml:space="preserve">   电厂一期2台60万千瓦，二期2台106万千瓦。煤炭消耗量900万吨/年。既有专用线从大古铁路横沟站接入厂内，现计划从定银线灵武站接轨，新建1条电厂专用线，目前环评尚未通过批复，原因是项目涉及白芨滩自然保护区的实验区，近期有关部门对实验区边界进行调整，环评有望通过。 </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2019年完成可研论证及环评审批。</w:t>
            </w:r>
          </w:p>
          <w:p>
            <w:pPr>
              <w:ind w:firstLine="480" w:firstLineChars="200"/>
              <w:rPr>
                <w:rFonts w:ascii="仿宋" w:hAnsi="仿宋" w:eastAsia="仿宋" w:cs="仿宋"/>
                <w:sz w:val="24"/>
                <w:szCs w:val="24"/>
              </w:rPr>
            </w:pPr>
            <w:r>
              <w:rPr>
                <w:rFonts w:hint="eastAsia" w:ascii="仿宋" w:hAnsi="仿宋" w:eastAsia="仿宋" w:cs="仿宋"/>
                <w:sz w:val="24"/>
                <w:szCs w:val="24"/>
              </w:rPr>
              <w:t>2020年力争项目开工。</w:t>
            </w:r>
          </w:p>
          <w:p>
            <w:pPr>
              <w:ind w:firstLine="480" w:firstLineChars="200"/>
              <w:rPr>
                <w:rFonts w:ascii="仿宋" w:hAnsi="仿宋" w:eastAsia="仿宋" w:cs="仿宋"/>
                <w:kern w:val="0"/>
                <w:sz w:val="24"/>
                <w:szCs w:val="24"/>
              </w:rPr>
            </w:pPr>
            <w:r>
              <w:rPr>
                <w:rFonts w:hint="eastAsia" w:ascii="仿宋" w:hAnsi="仿宋" w:eastAsia="仿宋" w:cs="仿宋"/>
                <w:sz w:val="24"/>
                <w:szCs w:val="24"/>
              </w:rPr>
              <w:t>2021年建成投产，实现到达增量60万吨。</w:t>
            </w:r>
          </w:p>
        </w:tc>
        <w:tc>
          <w:tcPr>
            <w:tcW w:w="55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ascii="仿宋" w:hAnsi="仿宋" w:eastAsia="仿宋" w:cs="仿宋"/>
                <w:sz w:val="24"/>
                <w:szCs w:val="24"/>
              </w:rPr>
            </w:pPr>
            <w:r>
              <w:rPr>
                <w:rFonts w:hint="eastAsia" w:ascii="仿宋" w:hAnsi="仿宋" w:eastAsia="仿宋" w:cs="仿宋"/>
                <w:sz w:val="24"/>
                <w:szCs w:val="24"/>
              </w:rPr>
              <w:t>第一阶段（2019年底）：由灵武市人民政府牵头、召开联席会议，确定项目推进阶段目标及各部门责任，尽快做好实验区边界的调整工作。</w:t>
            </w:r>
          </w:p>
          <w:p>
            <w:pPr>
              <w:spacing w:line="280" w:lineRule="exact"/>
              <w:ind w:firstLine="480" w:firstLineChars="200"/>
              <w:rPr>
                <w:rFonts w:ascii="仿宋" w:hAnsi="仿宋" w:eastAsia="仿宋" w:cs="仿宋"/>
                <w:sz w:val="24"/>
                <w:szCs w:val="24"/>
              </w:rPr>
            </w:pPr>
            <w:r>
              <w:rPr>
                <w:rFonts w:hint="eastAsia" w:ascii="仿宋" w:hAnsi="仿宋" w:eastAsia="仿宋" w:cs="仿宋"/>
                <w:sz w:val="24"/>
                <w:szCs w:val="24"/>
              </w:rPr>
              <w:t>第二阶段（2020年）：根据第一阶段意见，与企业共同做好项目设计、征地等开工前期准备工作，力争项目开工建设。</w:t>
            </w:r>
          </w:p>
          <w:p>
            <w:pPr>
              <w:spacing w:line="280" w:lineRule="exact"/>
              <w:ind w:firstLine="480" w:firstLineChars="200"/>
              <w:rPr>
                <w:rFonts w:ascii="仿宋" w:hAnsi="仿宋" w:eastAsia="仿宋" w:cs="仿宋"/>
                <w:kern w:val="0"/>
                <w:sz w:val="24"/>
                <w:szCs w:val="24"/>
              </w:rPr>
            </w:pPr>
            <w:r>
              <w:rPr>
                <w:rFonts w:hint="eastAsia" w:ascii="仿宋" w:hAnsi="仿宋" w:eastAsia="仿宋" w:cs="仿宋"/>
                <w:sz w:val="24"/>
                <w:szCs w:val="24"/>
              </w:rPr>
              <w:t>第三阶段（2021年）：企业会同中国铁路兰州局集团有限公司完成专用线项目的验收和运营审批工作并投入使用，实现到达增量60万吨。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76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sz w:val="24"/>
                <w:szCs w:val="24"/>
              </w:rPr>
            </w:pPr>
            <w:r>
              <w:rPr>
                <w:rFonts w:hint="eastAsia" w:ascii="仿宋" w:hAnsi="仿宋" w:eastAsia="仿宋" w:cs="仿宋"/>
                <w:sz w:val="24"/>
                <w:szCs w:val="24"/>
              </w:rPr>
              <w:t>中电投中卫热电有限公司</w:t>
            </w:r>
          </w:p>
        </w:tc>
        <w:tc>
          <w:tcPr>
            <w:tcW w:w="36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cs="仿宋"/>
                <w:sz w:val="24"/>
                <w:szCs w:val="24"/>
              </w:rPr>
            </w:pPr>
            <w:r>
              <w:rPr>
                <w:rFonts w:hint="eastAsia" w:ascii="仿宋" w:hAnsi="仿宋" w:eastAsia="仿宋" w:cs="仿宋"/>
                <w:sz w:val="24"/>
                <w:szCs w:val="24"/>
              </w:rPr>
              <w:t xml:space="preserve">    中卫电厂距中卫物流园约3公里，每年耗煤400万吨左右，但中卫物流园项目还在研究当中。</w:t>
            </w:r>
          </w:p>
        </w:tc>
        <w:tc>
          <w:tcPr>
            <w:tcW w:w="21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2019年确定该项目的建设方案，力争开工建设。</w:t>
            </w:r>
          </w:p>
          <w:p>
            <w:pPr>
              <w:ind w:firstLine="480" w:firstLineChars="200"/>
              <w:rPr>
                <w:rFonts w:ascii="仿宋" w:hAnsi="仿宋" w:eastAsia="仿宋" w:cs="仿宋"/>
                <w:sz w:val="24"/>
                <w:szCs w:val="24"/>
              </w:rPr>
            </w:pPr>
            <w:r>
              <w:rPr>
                <w:rFonts w:hint="eastAsia" w:ascii="仿宋" w:hAnsi="仿宋" w:eastAsia="仿宋" w:cs="仿宋"/>
                <w:sz w:val="24"/>
                <w:szCs w:val="24"/>
              </w:rPr>
              <w:t>2020年，力争完成项目建设工作，到达增量70万吨。</w:t>
            </w:r>
          </w:p>
        </w:tc>
        <w:tc>
          <w:tcPr>
            <w:tcW w:w="55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第一阶段（2018年11月-2019年2月）：由中卫市人民政府牵头召开联席会议，确定项目推进阶段目标及各部门责任。</w:t>
            </w:r>
          </w:p>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第二阶段（2019年）：根据第一阶段意见，与企业共同做好项目可研论证、项目设计、征地等开工前期准备工作。</w:t>
            </w:r>
          </w:p>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第三阶段（2020年）：力争完成项目建设并投入使用，中国铁路兰州局集团有限公司按公转铁“一企一策”方案推进实施，力争实现到达增量70万吨。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6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水泥运输(宁夏胜金水泥厂、赛马水泥厂、青铜峡市西夏水泥厂、贺兰金山水泥厂等区内个水泥厂)</w:t>
            </w:r>
          </w:p>
        </w:tc>
        <w:tc>
          <w:tcPr>
            <w:tcW w:w="36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由中国铁路兰州局集团有限公司配合企业配置罐式水泥集装箱，增加集装箱作业能力；另外，兰州局集团会同自治区相关部门向中国铁路总公司申请加大对青藏公司格拉段运力配置。</w:t>
            </w:r>
          </w:p>
        </w:tc>
        <w:tc>
          <w:tcPr>
            <w:tcW w:w="21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2018力争项目开始运营。</w:t>
            </w:r>
          </w:p>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    2019年力争发运增量5万吨。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2020年发运增量15万吨。</w:t>
            </w:r>
          </w:p>
        </w:tc>
        <w:tc>
          <w:tcPr>
            <w:tcW w:w="55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第一阶段（2018年12月）：由中国铁路兰州局集团有限公司牵头，自治区工业和信息化厅等部门和各水泥厂配合，研究水泥铁路运输方案，并完成试运营。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第二阶段（2019年3月）：中国铁路兰州局集团有限公司配合企业协调解决罐式水泥集装箱需求事宜，会同自治区相关部门向中国铁路总公司申请加大对青藏公司格拉段运力配置，力争年内发运增量5万吨。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第三阶段（2020年）：中国铁路兰州局集团有限公司提高物流服务质量，发运增量15万吨。</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D65FA"/>
    <w:rsid w:val="2F88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 Vinci</cp:lastModifiedBy>
  <dcterms:modified xsi:type="dcterms:W3CDTF">2019-03-21T01:54:06Z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