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00" w:lineRule="exact"/>
        <w:jc w:val="left"/>
        <w:rPr>
          <w:rFonts w:hint="eastAsia" w:ascii="黑体" w:hAnsi="黑体" w:eastAsia="黑体" w:cs="Verdana"/>
          <w:color w:val="000000"/>
          <w:sz w:val="32"/>
          <w:szCs w:val="32"/>
        </w:rPr>
      </w:pPr>
      <w:r>
        <w:rPr>
          <w:rFonts w:hint="eastAsia" w:ascii="黑体" w:hAnsi="黑体" w:eastAsia="黑体" w:cs="Verdana"/>
          <w:color w:val="000000"/>
          <w:sz w:val="32"/>
          <w:szCs w:val="32"/>
        </w:rPr>
        <w:t>附件</w:t>
      </w:r>
    </w:p>
    <w:p>
      <w:pPr>
        <w:pStyle w:val="6"/>
        <w:spacing w:before="0" w:beforeAutospacing="0" w:after="0" w:afterAutospacing="0" w:line="500" w:lineRule="exact"/>
        <w:jc w:val="center"/>
        <w:rPr>
          <w:rFonts w:hint="eastAsia" w:ascii="方正小标宋_GBK" w:hAnsi="Times New Roman" w:eastAsia="方正小标宋_GBK"/>
          <w:color w:val="000000"/>
          <w:sz w:val="44"/>
          <w:szCs w:val="44"/>
        </w:rPr>
      </w:pPr>
      <w:r>
        <w:rPr>
          <w:rFonts w:hint="eastAsia" w:ascii="方正小标宋_GBK" w:hAnsi="Times New Roman" w:eastAsia="方正小标宋_GBK" w:cs="Verdana"/>
          <w:color w:val="000000"/>
          <w:sz w:val="44"/>
          <w:szCs w:val="44"/>
        </w:rPr>
        <w:t>宁夏</w:t>
      </w:r>
      <w:r>
        <w:rPr>
          <w:rFonts w:hint="eastAsia" w:ascii="方正小标宋_GBK" w:hAnsi="Times New Roman" w:eastAsia="方正小标宋_GBK"/>
          <w:color w:val="000000"/>
          <w:sz w:val="44"/>
          <w:szCs w:val="44"/>
        </w:rPr>
        <w:t>贺兰山东麓葡萄酒产区列级酒庄评分标准</w:t>
      </w:r>
    </w:p>
    <w:p>
      <w:pPr>
        <w:pStyle w:val="6"/>
        <w:spacing w:before="0" w:beforeAutospacing="0" w:after="0" w:afterAutospacing="0" w:line="500" w:lineRule="exact"/>
        <w:jc w:val="center"/>
        <w:rPr>
          <w:rFonts w:hint="eastAsia" w:ascii="黑体" w:hAnsi="Times New Roman" w:eastAsia="黑体" w:cs="Verdana"/>
          <w:color w:val="000000"/>
          <w:sz w:val="32"/>
          <w:szCs w:val="32"/>
        </w:rPr>
      </w:pP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1515"/>
        <w:gridCol w:w="720"/>
        <w:gridCol w:w="1980"/>
        <w:gridCol w:w="1980"/>
        <w:gridCol w:w="1980"/>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393" w:type="dxa"/>
            <w:vMerge w:val="restart"/>
            <w:vAlign w:val="center"/>
          </w:tcPr>
          <w:p>
            <w:pPr>
              <w:pStyle w:val="6"/>
              <w:spacing w:before="0" w:beforeAutospacing="0" w:after="0" w:afterAutospacing="0" w:line="400" w:lineRule="exact"/>
              <w:jc w:val="center"/>
              <w:rPr>
                <w:rFonts w:ascii="黑体" w:hAnsi="黑体" w:eastAsia="黑体" w:cs="Times New Roman"/>
                <w:b/>
                <w:sz w:val="28"/>
                <w:szCs w:val="28"/>
              </w:rPr>
            </w:pPr>
            <w:r>
              <w:rPr>
                <w:rFonts w:ascii="黑体" w:hAnsi="黑体" w:eastAsia="黑体" w:cs="Times New Roman"/>
                <w:b/>
                <w:sz w:val="28"/>
                <w:szCs w:val="28"/>
              </w:rPr>
              <w:t>序号</w:t>
            </w:r>
          </w:p>
        </w:tc>
        <w:tc>
          <w:tcPr>
            <w:tcW w:w="1515" w:type="dxa"/>
            <w:vMerge w:val="restart"/>
            <w:vAlign w:val="center"/>
          </w:tcPr>
          <w:p>
            <w:pPr>
              <w:pStyle w:val="6"/>
              <w:spacing w:before="0" w:beforeAutospacing="0" w:after="0" w:afterAutospacing="0" w:line="400" w:lineRule="exact"/>
              <w:jc w:val="center"/>
              <w:rPr>
                <w:rFonts w:hint="eastAsia" w:ascii="黑体" w:hAnsi="黑体" w:eastAsia="黑体" w:cs="Times New Roman"/>
                <w:b/>
                <w:sz w:val="28"/>
                <w:szCs w:val="28"/>
              </w:rPr>
            </w:pPr>
            <w:r>
              <w:rPr>
                <w:rFonts w:ascii="黑体" w:hAnsi="黑体" w:eastAsia="黑体" w:cs="Times New Roman"/>
                <w:b/>
                <w:sz w:val="28"/>
                <w:szCs w:val="28"/>
              </w:rPr>
              <w:t>评定</w:t>
            </w:r>
          </w:p>
          <w:p>
            <w:pPr>
              <w:pStyle w:val="6"/>
              <w:spacing w:before="0" w:beforeAutospacing="0" w:after="0" w:afterAutospacing="0" w:line="400" w:lineRule="exact"/>
              <w:jc w:val="center"/>
              <w:rPr>
                <w:rFonts w:ascii="黑体" w:hAnsi="黑体" w:eastAsia="黑体" w:cs="Times New Roman"/>
                <w:b/>
                <w:sz w:val="28"/>
                <w:szCs w:val="28"/>
              </w:rPr>
            </w:pPr>
            <w:r>
              <w:rPr>
                <w:rFonts w:ascii="黑体" w:hAnsi="黑体" w:eastAsia="黑体" w:cs="Times New Roman"/>
                <w:b/>
                <w:sz w:val="28"/>
                <w:szCs w:val="28"/>
              </w:rPr>
              <w:t>指标</w:t>
            </w:r>
          </w:p>
        </w:tc>
        <w:tc>
          <w:tcPr>
            <w:tcW w:w="720" w:type="dxa"/>
            <w:vMerge w:val="restart"/>
            <w:vAlign w:val="center"/>
          </w:tcPr>
          <w:p>
            <w:pPr>
              <w:pStyle w:val="6"/>
              <w:spacing w:before="0" w:beforeAutospacing="0" w:after="0" w:afterAutospacing="0" w:line="400" w:lineRule="exact"/>
              <w:rPr>
                <w:rFonts w:ascii="黑体" w:hAnsi="黑体" w:eastAsia="黑体" w:cs="Times New Roman"/>
                <w:b/>
                <w:sz w:val="28"/>
                <w:szCs w:val="28"/>
              </w:rPr>
            </w:pPr>
            <w:r>
              <w:rPr>
                <w:rFonts w:ascii="黑体" w:hAnsi="黑体" w:eastAsia="黑体" w:cs="Times New Roman"/>
                <w:b/>
                <w:sz w:val="28"/>
                <w:szCs w:val="28"/>
              </w:rPr>
              <w:t>系数</w:t>
            </w:r>
          </w:p>
        </w:tc>
        <w:tc>
          <w:tcPr>
            <w:tcW w:w="11880" w:type="dxa"/>
            <w:gridSpan w:val="6"/>
            <w:vAlign w:val="center"/>
          </w:tcPr>
          <w:p>
            <w:pPr>
              <w:widowControl/>
              <w:spacing w:line="400" w:lineRule="exact"/>
              <w:jc w:val="center"/>
              <w:rPr>
                <w:rFonts w:ascii="黑体" w:hAnsi="黑体" w:eastAsia="黑体"/>
                <w:b/>
                <w:sz w:val="28"/>
                <w:szCs w:val="28"/>
              </w:rPr>
            </w:pPr>
            <w:r>
              <w:rPr>
                <w:rFonts w:ascii="黑体" w:hAnsi="黑体" w:eastAsia="黑体"/>
                <w:b/>
                <w:sz w:val="28"/>
                <w:szCs w:val="28"/>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393" w:type="dxa"/>
            <w:vMerge w:val="continue"/>
            <w:vAlign w:val="center"/>
          </w:tcPr>
          <w:p>
            <w:pPr>
              <w:pStyle w:val="6"/>
              <w:spacing w:before="0" w:beforeAutospacing="0" w:after="0" w:afterAutospacing="0" w:line="400" w:lineRule="exact"/>
              <w:jc w:val="center"/>
              <w:rPr>
                <w:rFonts w:ascii="黑体" w:hAnsi="黑体" w:eastAsia="黑体" w:cs="Times New Roman"/>
                <w:sz w:val="28"/>
                <w:szCs w:val="28"/>
              </w:rPr>
            </w:pPr>
          </w:p>
        </w:tc>
        <w:tc>
          <w:tcPr>
            <w:tcW w:w="1515" w:type="dxa"/>
            <w:vMerge w:val="continue"/>
            <w:vAlign w:val="center"/>
          </w:tcPr>
          <w:p>
            <w:pPr>
              <w:pStyle w:val="6"/>
              <w:spacing w:before="0" w:beforeAutospacing="0" w:after="0" w:afterAutospacing="0" w:line="400" w:lineRule="exact"/>
              <w:jc w:val="center"/>
              <w:rPr>
                <w:rFonts w:ascii="黑体" w:hAnsi="黑体" w:eastAsia="黑体" w:cs="Times New Roman"/>
                <w:sz w:val="28"/>
                <w:szCs w:val="28"/>
              </w:rPr>
            </w:pPr>
          </w:p>
        </w:tc>
        <w:tc>
          <w:tcPr>
            <w:tcW w:w="720" w:type="dxa"/>
            <w:vMerge w:val="continue"/>
            <w:vAlign w:val="center"/>
          </w:tcPr>
          <w:p>
            <w:pPr>
              <w:pStyle w:val="6"/>
              <w:spacing w:before="0" w:beforeAutospacing="0" w:after="0" w:afterAutospacing="0" w:line="400" w:lineRule="exact"/>
              <w:jc w:val="center"/>
              <w:rPr>
                <w:rFonts w:ascii="黑体" w:hAnsi="黑体" w:eastAsia="黑体" w:cs="Times New Roman"/>
                <w:sz w:val="28"/>
                <w:szCs w:val="28"/>
              </w:rPr>
            </w:pPr>
          </w:p>
        </w:tc>
        <w:tc>
          <w:tcPr>
            <w:tcW w:w="1980" w:type="dxa"/>
            <w:vAlign w:val="center"/>
          </w:tcPr>
          <w:p>
            <w:pPr>
              <w:pStyle w:val="6"/>
              <w:spacing w:before="0" w:beforeAutospacing="0" w:after="0" w:afterAutospacing="0" w:line="400" w:lineRule="exact"/>
              <w:jc w:val="center"/>
              <w:rPr>
                <w:rFonts w:ascii="仿宋_GB2312" w:hAnsi="仿宋_GB2312" w:eastAsia="仿宋_GB2312" w:cs="仿宋_GB2312"/>
              </w:rPr>
            </w:pPr>
            <w:r>
              <w:rPr>
                <w:rFonts w:ascii="仿宋_GB2312" w:hAnsi="仿宋_GB2312" w:eastAsia="仿宋_GB2312" w:cs="仿宋_GB2312"/>
              </w:rPr>
              <w:t>6</w:t>
            </w:r>
          </w:p>
        </w:tc>
        <w:tc>
          <w:tcPr>
            <w:tcW w:w="1980" w:type="dxa"/>
            <w:vAlign w:val="center"/>
          </w:tcPr>
          <w:p>
            <w:pPr>
              <w:pStyle w:val="6"/>
              <w:spacing w:before="0" w:beforeAutospacing="0" w:after="0" w:afterAutospacing="0" w:line="400" w:lineRule="exact"/>
              <w:jc w:val="center"/>
              <w:rPr>
                <w:rFonts w:ascii="仿宋_GB2312" w:hAnsi="仿宋_GB2312" w:eastAsia="仿宋_GB2312" w:cs="仿宋_GB2312"/>
              </w:rPr>
            </w:pPr>
            <w:r>
              <w:rPr>
                <w:rFonts w:ascii="仿宋_GB2312" w:hAnsi="仿宋_GB2312" w:eastAsia="仿宋_GB2312" w:cs="仿宋_GB2312"/>
              </w:rPr>
              <w:t>5</w:t>
            </w:r>
          </w:p>
        </w:tc>
        <w:tc>
          <w:tcPr>
            <w:tcW w:w="1980" w:type="dxa"/>
            <w:vAlign w:val="center"/>
          </w:tcPr>
          <w:p>
            <w:pPr>
              <w:pStyle w:val="6"/>
              <w:spacing w:before="0" w:beforeAutospacing="0" w:after="0" w:afterAutospacing="0" w:line="400" w:lineRule="exact"/>
              <w:jc w:val="center"/>
              <w:rPr>
                <w:rFonts w:ascii="仿宋_GB2312" w:hAnsi="仿宋_GB2312" w:eastAsia="仿宋_GB2312" w:cs="仿宋_GB2312"/>
              </w:rPr>
            </w:pPr>
            <w:r>
              <w:rPr>
                <w:rFonts w:ascii="仿宋_GB2312" w:hAnsi="仿宋_GB2312" w:eastAsia="仿宋_GB2312" w:cs="仿宋_GB2312"/>
              </w:rPr>
              <w:t>4</w:t>
            </w:r>
          </w:p>
        </w:tc>
        <w:tc>
          <w:tcPr>
            <w:tcW w:w="1980" w:type="dxa"/>
            <w:vAlign w:val="center"/>
          </w:tcPr>
          <w:p>
            <w:pPr>
              <w:pStyle w:val="6"/>
              <w:spacing w:before="0" w:beforeAutospacing="0" w:after="0" w:afterAutospacing="0" w:line="400" w:lineRule="exact"/>
              <w:jc w:val="center"/>
              <w:rPr>
                <w:rFonts w:ascii="仿宋_GB2312" w:hAnsi="仿宋_GB2312" w:eastAsia="仿宋_GB2312" w:cs="仿宋_GB2312"/>
              </w:rPr>
            </w:pPr>
            <w:r>
              <w:rPr>
                <w:rFonts w:ascii="仿宋_GB2312" w:hAnsi="仿宋_GB2312" w:eastAsia="仿宋_GB2312" w:cs="仿宋_GB2312"/>
              </w:rPr>
              <w:t>3</w:t>
            </w:r>
          </w:p>
        </w:tc>
        <w:tc>
          <w:tcPr>
            <w:tcW w:w="1980" w:type="dxa"/>
            <w:vAlign w:val="center"/>
          </w:tcPr>
          <w:p>
            <w:pPr>
              <w:widowControl/>
              <w:spacing w:line="40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2</w:t>
            </w:r>
          </w:p>
        </w:tc>
        <w:tc>
          <w:tcPr>
            <w:tcW w:w="1980" w:type="dxa"/>
            <w:vAlign w:val="center"/>
          </w:tcPr>
          <w:p>
            <w:pPr>
              <w:widowControl/>
              <w:spacing w:line="40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393"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1</w:t>
            </w:r>
          </w:p>
        </w:tc>
        <w:tc>
          <w:tcPr>
            <w:tcW w:w="1515" w:type="dxa"/>
            <w:vAlign w:val="center"/>
          </w:tcPr>
          <w:p>
            <w:pPr>
              <w:pStyle w:val="6"/>
              <w:spacing w:before="0" w:beforeAutospacing="0" w:after="0" w:afterAutospacing="0" w:line="400" w:lineRule="exact"/>
              <w:jc w:val="center"/>
              <w:rPr>
                <w:rFonts w:hint="eastAsia" w:ascii="Times New Roman" w:hAnsi="Times New Roman" w:eastAsia="仿宋_GB2312" w:cs="Times New Roman"/>
              </w:rPr>
            </w:pPr>
            <w:r>
              <w:rPr>
                <w:rFonts w:hint="eastAsia" w:ascii="Times New Roman" w:hAnsi="Times New Roman" w:eastAsia="仿宋_GB2312" w:cs="Times New Roman"/>
              </w:rPr>
              <w:t>园貌</w:t>
            </w:r>
            <w:r>
              <w:rPr>
                <w:rFonts w:ascii="Times New Roman" w:hAnsi="Times New Roman" w:eastAsia="仿宋_GB2312" w:cs="Times New Roman"/>
              </w:rPr>
              <w:t>及</w:t>
            </w:r>
            <w:r>
              <w:rPr>
                <w:rFonts w:hint="eastAsia" w:ascii="Times New Roman" w:hAnsi="Times New Roman" w:eastAsia="仿宋_GB2312" w:cs="Times New Roman"/>
              </w:rPr>
              <w:t>品种</w:t>
            </w:r>
          </w:p>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纯度</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2</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园貌整齐美观，自种品种4个以上，品种纯度95%以上。</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园貌整齐美观，自种品种4个以上，品种纯度93%以上。</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园貌整齐美观，自种品种3个，品种纯度91%</w:t>
            </w:r>
          </w:p>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以上。</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园貌整齐美观,自种品种3个，品种纯度90%</w:t>
            </w:r>
          </w:p>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以上。</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园貌整齐美观,自种品种2个，品种纯度88%</w:t>
            </w:r>
          </w:p>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以上。</w:t>
            </w:r>
          </w:p>
        </w:tc>
        <w:tc>
          <w:tcPr>
            <w:tcW w:w="1980" w:type="dxa"/>
            <w:vAlign w:val="center"/>
          </w:tcPr>
          <w:p>
            <w:pPr>
              <w:pStyle w:val="6"/>
              <w:tabs>
                <w:tab w:val="left" w:pos="300"/>
                <w:tab w:val="center" w:pos="441"/>
              </w:tabs>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园貌整齐美观,自种品种2个，品种纯度85%</w:t>
            </w:r>
          </w:p>
          <w:p>
            <w:pPr>
              <w:pStyle w:val="6"/>
              <w:tabs>
                <w:tab w:val="left" w:pos="300"/>
                <w:tab w:val="center" w:pos="441"/>
              </w:tabs>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trPr>
        <w:tc>
          <w:tcPr>
            <w:tcW w:w="393"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2</w:t>
            </w:r>
          </w:p>
        </w:tc>
        <w:tc>
          <w:tcPr>
            <w:tcW w:w="1515"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葡萄质量</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非耕地种植产量不超过500公斤；农耕地种植产量不超过650公斤。管理规范，树龄15年以上。</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非耕地种植产量不超过500公斤；农耕地种植产量不超过650公斤。管理规范，树龄10年以上。</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非耕地种植产量不超过500公斤；农耕地种植产量不超过650公斤。管理规范，树龄8年以上。</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非耕地种植产量不超过500公斤；农耕地种植产量不超过650公斤。管理规范，树龄7年以上。</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非耕地种植产量不超过500公斤；农耕地种植产量不超过650公斤。管理规范，树龄6年以上。</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非耕地种植产量不超过500公斤；农耕地种植产量不超过650公斤。管理规范，树龄5年以上。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393"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1515" w:type="dxa"/>
            <w:vAlign w:val="center"/>
          </w:tcPr>
          <w:p>
            <w:pPr>
              <w:pStyle w:val="6"/>
              <w:spacing w:before="0" w:beforeAutospacing="0" w:after="0" w:afterAutospacing="0" w:line="400" w:lineRule="exact"/>
              <w:rPr>
                <w:rFonts w:ascii="Times New Roman" w:hAnsi="Times New Roman" w:eastAsia="仿宋_GB2312" w:cs="Times New Roman"/>
                <w:vertAlign w:val="superscript"/>
              </w:rPr>
            </w:pPr>
            <w:r>
              <w:rPr>
                <w:rFonts w:ascii="Times New Roman" w:hAnsi="Times New Roman" w:eastAsia="仿宋_GB2312" w:cs="Times New Roman"/>
              </w:rPr>
              <w:t>酒样盲品得分（百分制）</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96—100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91—95</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86—90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81—85</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76—80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71—75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393"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4</w:t>
            </w:r>
          </w:p>
        </w:tc>
        <w:tc>
          <w:tcPr>
            <w:tcW w:w="1515"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获奖情况（以最高奖项计）</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spacing w:val="0"/>
              </w:rPr>
            </w:pPr>
            <w:r>
              <w:rPr>
                <w:rFonts w:hint="eastAsia" w:ascii="仿宋_GB2312" w:hAnsi="仿宋_GB2312" w:eastAsia="仿宋_GB2312" w:cs="仿宋_GB2312"/>
                <w:spacing w:val="0"/>
              </w:rPr>
              <w:t>贺兰山东麓葡萄酒博览会金奖</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国际大赛金奖</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国际大赛银奖</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国内金奖</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国内银奖</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国内铜奖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393" w:type="dxa"/>
            <w:vAlign w:val="center"/>
          </w:tcPr>
          <w:p>
            <w:pPr>
              <w:pStyle w:val="6"/>
              <w:spacing w:before="0" w:beforeAutospacing="0" w:after="0" w:afterAutospacing="0" w:line="400" w:lineRule="exact"/>
              <w:jc w:val="center"/>
              <w:rPr>
                <w:rFonts w:hint="eastAsia" w:ascii="Times New Roman" w:hAnsi="Times New Roman" w:eastAsia="仿宋_GB2312" w:cs="Times New Roman"/>
              </w:rPr>
            </w:pPr>
            <w:r>
              <w:rPr>
                <w:rFonts w:hint="eastAsia" w:ascii="Times New Roman" w:hAnsi="Times New Roman" w:eastAsia="仿宋_GB2312" w:cs="Times New Roman"/>
              </w:rPr>
              <w:t>5</w:t>
            </w:r>
          </w:p>
        </w:tc>
        <w:tc>
          <w:tcPr>
            <w:tcW w:w="1515" w:type="dxa"/>
            <w:vAlign w:val="center"/>
          </w:tcPr>
          <w:p>
            <w:pPr>
              <w:pStyle w:val="6"/>
              <w:spacing w:before="0" w:beforeAutospacing="0" w:after="0" w:afterAutospacing="0" w:line="400" w:lineRule="exact"/>
              <w:jc w:val="center"/>
              <w:rPr>
                <w:rFonts w:ascii="Times New Roman" w:hAnsi="Times New Roman" w:eastAsia="仿宋_GB2312" w:cs="Times New Roman"/>
                <w:vertAlign w:val="superscript"/>
              </w:rPr>
            </w:pPr>
            <w:r>
              <w:rPr>
                <w:rFonts w:hint="eastAsia" w:ascii="Times New Roman" w:hAnsi="Times New Roman" w:eastAsia="仿宋_GB2312" w:cs="Times New Roman"/>
              </w:rPr>
              <w:t>专家指导</w:t>
            </w:r>
            <w:r>
              <w:rPr>
                <w:rFonts w:ascii="Times New Roman" w:hAnsi="Times New Roman" w:eastAsia="仿宋_GB2312" w:cs="Times New Roman"/>
              </w:rPr>
              <w:t>价</w:t>
            </w:r>
          </w:p>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（元/瓶）</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2</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spacing w:val="-20"/>
              </w:rPr>
            </w:pPr>
            <w:r>
              <w:rPr>
                <w:rFonts w:hint="eastAsia" w:ascii="仿宋_GB2312" w:hAnsi="仿宋_GB2312" w:eastAsia="仿宋_GB2312" w:cs="仿宋_GB2312"/>
              </w:rPr>
              <w:t>≥500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≥400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≥300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≥200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≥150</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393" w:type="dxa"/>
            <w:vAlign w:val="center"/>
          </w:tcPr>
          <w:p>
            <w:pPr>
              <w:pStyle w:val="6"/>
              <w:spacing w:before="0" w:beforeAutospacing="0" w:after="0" w:afterAutospacing="0" w:line="400" w:lineRule="exact"/>
              <w:jc w:val="center"/>
              <w:rPr>
                <w:rFonts w:hint="eastAsia" w:ascii="Times New Roman" w:hAnsi="Times New Roman" w:eastAsia="仿宋_GB2312" w:cs="Times New Roman"/>
              </w:rPr>
            </w:pPr>
            <w:r>
              <w:rPr>
                <w:rFonts w:hint="eastAsia" w:ascii="Times New Roman" w:hAnsi="Times New Roman" w:eastAsia="仿宋_GB2312" w:cs="Times New Roman"/>
              </w:rPr>
              <w:t>6</w:t>
            </w:r>
          </w:p>
        </w:tc>
        <w:tc>
          <w:tcPr>
            <w:tcW w:w="1515"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年销售量</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销售量占年生产能力的80%以上。</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销售量占年生产能力的70%以上。</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销售量占年生产能力的60%以上。</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销售量占年生产能力的50%以上。</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销售量占年生产能力的40%以上。</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销售量占年生产能力的30%以上。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393"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7</w:t>
            </w:r>
          </w:p>
        </w:tc>
        <w:tc>
          <w:tcPr>
            <w:tcW w:w="1515" w:type="dxa"/>
            <w:vAlign w:val="center"/>
          </w:tcPr>
          <w:p>
            <w:pPr>
              <w:pStyle w:val="6"/>
              <w:spacing w:before="0" w:beforeAutospacing="0" w:after="0" w:afterAutospacing="0" w:line="400" w:lineRule="exact"/>
              <w:jc w:val="center"/>
              <w:rPr>
                <w:rFonts w:hint="eastAsia" w:ascii="Times New Roman" w:hAnsi="Times New Roman" w:eastAsia="仿宋_GB2312" w:cs="Times New Roman"/>
              </w:rPr>
            </w:pPr>
            <w:r>
              <w:rPr>
                <w:rFonts w:ascii="Times New Roman" w:hAnsi="Times New Roman" w:eastAsia="仿宋_GB2312" w:cs="Times New Roman"/>
              </w:rPr>
              <w:t>产品认证</w:t>
            </w:r>
          </w:p>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情况</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国际有机认证</w:t>
            </w:r>
          </w:p>
        </w:tc>
        <w:tc>
          <w:tcPr>
            <w:tcW w:w="1980" w:type="dxa"/>
            <w:vAlign w:val="center"/>
          </w:tcPr>
          <w:p>
            <w:pPr>
              <w:pStyle w:val="6"/>
              <w:spacing w:before="0" w:beforeAutospacing="0" w:after="0" w:afterAutospacing="0" w:line="400" w:lineRule="exact"/>
              <w:ind w:left="24" w:hanging="24" w:hangingChars="10"/>
              <w:jc w:val="center"/>
              <w:rPr>
                <w:rFonts w:hint="eastAsia" w:ascii="仿宋_GB2312" w:hAnsi="仿宋_GB2312" w:eastAsia="仿宋_GB2312" w:cs="仿宋_GB2312"/>
              </w:rPr>
            </w:pPr>
            <w:r>
              <w:rPr>
                <w:rFonts w:hint="eastAsia" w:ascii="仿宋_GB2312" w:hAnsi="仿宋_GB2312" w:eastAsia="仿宋_GB2312" w:cs="仿宋_GB2312"/>
              </w:rPr>
              <w:t>国内有机认证</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国内绿</w:t>
            </w:r>
            <w:bookmarkStart w:id="0" w:name="_GoBack"/>
            <w:bookmarkEnd w:id="0"/>
            <w:r>
              <w:rPr>
                <w:rFonts w:hint="eastAsia" w:ascii="仿宋_GB2312" w:hAnsi="仿宋_GB2312" w:eastAsia="仿宋_GB2312" w:cs="仿宋_GB2312"/>
              </w:rPr>
              <w:t>色认证</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无公害认证</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其他认证</w:t>
            </w:r>
          </w:p>
        </w:tc>
        <w:tc>
          <w:tcPr>
            <w:tcW w:w="1980" w:type="dxa"/>
            <w:vAlign w:val="center"/>
          </w:tcPr>
          <w:p>
            <w:pPr>
              <w:pStyle w:val="6"/>
              <w:spacing w:before="0" w:beforeAutospacing="0" w:after="0" w:afterAutospacing="0" w:line="400" w:lineRule="exact"/>
              <w:jc w:val="center"/>
              <w:rPr>
                <w:rFonts w:hint="eastAsia" w:ascii="仿宋_GB2312" w:hAnsi="仿宋_GB2312" w:eastAsia="仿宋_GB2312" w:cs="仿宋_GB2312"/>
              </w:rPr>
            </w:pPr>
            <w:r>
              <w:rPr>
                <w:rFonts w:hint="eastAsia" w:ascii="仿宋_GB2312" w:hAnsi="仿宋_GB2312" w:eastAsia="仿宋_GB2312" w:cs="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9" w:hRule="atLeast"/>
        </w:trPr>
        <w:tc>
          <w:tcPr>
            <w:tcW w:w="393"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1515" w:type="dxa"/>
            <w:vAlign w:val="center"/>
          </w:tcPr>
          <w:p>
            <w:pPr>
              <w:pStyle w:val="6"/>
              <w:spacing w:before="0" w:beforeAutospacing="0" w:after="0" w:afterAutospacing="0" w:line="400" w:lineRule="exact"/>
              <w:jc w:val="center"/>
              <w:rPr>
                <w:rFonts w:hint="eastAsia" w:ascii="Times New Roman" w:hAnsi="Times New Roman" w:eastAsia="仿宋_GB2312" w:cs="Times New Roman"/>
              </w:rPr>
            </w:pPr>
            <w:r>
              <w:rPr>
                <w:rFonts w:ascii="Times New Roman" w:hAnsi="Times New Roman" w:eastAsia="仿宋_GB2312" w:cs="Times New Roman"/>
              </w:rPr>
              <w:t>技术团队（相当于中级以上</w:t>
            </w:r>
          </w:p>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职称）</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配备正高级资质的种植、酿造、侍酒、销售技术人员。有宁夏贺兰山东麓葡萄与葡萄酒国际联合会认可的知名国内外专家指导。</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配备副高级资质的种植、酿造、侍酒、销售技术人员。有宁夏贺兰山东麓葡萄与葡萄酒国际联合会认可的国内外专家指导。</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配备中级资质的种植、酿造、侍酒、销售技术人员。有宁夏贺兰山东麓葡萄与葡萄酒国际联合会认可的国内外专家指导。</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配备初级资质的种植、酿造、侍酒、销售技术人员。有宁夏贺兰山东麓葡萄与葡萄酒国际联合会认可的国内外专家指导。</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配备技术员资质的种植、酿造、侍酒、销售技术人员。有宁夏贺兰山东麓葡萄与葡萄酒国际联合会认可的国内外专家指导。</w:t>
            </w:r>
          </w:p>
        </w:tc>
        <w:tc>
          <w:tcPr>
            <w:tcW w:w="1980" w:type="dxa"/>
            <w:vAlign w:val="center"/>
          </w:tcPr>
          <w:p>
            <w:pPr>
              <w:pStyle w:val="6"/>
              <w:spacing w:before="0" w:beforeAutospacing="0" w:after="0" w:afterAutospacing="0" w:line="400" w:lineRule="exact"/>
              <w:rPr>
                <w:rFonts w:hint="eastAsia" w:ascii="仿宋_GB2312" w:hAnsi="仿宋_GB2312" w:eastAsia="仿宋_GB2312" w:cs="仿宋_GB2312"/>
              </w:rPr>
            </w:pPr>
            <w:r>
              <w:rPr>
                <w:rFonts w:hint="eastAsia" w:ascii="仿宋_GB2312" w:hAnsi="仿宋_GB2312" w:eastAsia="仿宋_GB2312" w:cs="仿宋_GB2312"/>
              </w:rPr>
              <w:t>无职称的种植、酿造、侍酒、销售技术人员。有宁夏贺兰山东麓葡萄与葡萄酒国际联合会认可的国内外专家指导。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trPr>
        <w:tc>
          <w:tcPr>
            <w:tcW w:w="393"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9</w:t>
            </w:r>
          </w:p>
        </w:tc>
        <w:tc>
          <w:tcPr>
            <w:tcW w:w="1515"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酒庄及相关配套条件</w:t>
            </w:r>
          </w:p>
        </w:tc>
        <w:tc>
          <w:tcPr>
            <w:tcW w:w="720" w:type="dxa"/>
            <w:vAlign w:val="center"/>
          </w:tcPr>
          <w:p>
            <w:pPr>
              <w:pStyle w:val="6"/>
              <w:spacing w:before="0" w:beforeAutospacing="0" w:after="0" w:afterAutospacing="0" w:line="40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酒庄文化体验内涵丰富，有系统的风土体系和风土特色。酒庄与休闲旅游结合紧密，具备标准服务接待能力。有SC认证。</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酒庄文化体验内涵丰富，有系统的风土体系和风土特色。酒庄与休闲旅游结合紧密，具备标准服务接待能力。有SC认证。</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酒庄文化体验内涵丰富，有系统的风土体系和风土特色。酒庄与休闲旅游结合紧密，具备相当服务接待能力。有SC认证。</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具备酒庄文化体验功能，有系统的风土体系和风土特色。酒庄与休闲旅游结合紧密，有相当服务接待能力。有SC认证。</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有酒庄文化体验功能，有系统的风土体系和风土特色。能满足酒庄接待及相关服务。有SC认证。</w:t>
            </w:r>
          </w:p>
        </w:tc>
        <w:tc>
          <w:tcPr>
            <w:tcW w:w="1980" w:type="dxa"/>
            <w:vAlign w:val="center"/>
          </w:tcPr>
          <w:p>
            <w:pPr>
              <w:pStyle w:val="6"/>
              <w:spacing w:before="0" w:beforeAutospacing="0" w:after="0" w:afterAutospacing="0" w:line="400" w:lineRule="exact"/>
              <w:jc w:val="both"/>
              <w:rPr>
                <w:rFonts w:hint="eastAsia" w:ascii="仿宋_GB2312" w:hAnsi="仿宋_GB2312" w:eastAsia="仿宋_GB2312" w:cs="仿宋_GB2312"/>
              </w:rPr>
            </w:pPr>
            <w:r>
              <w:rPr>
                <w:rFonts w:hint="eastAsia" w:ascii="仿宋_GB2312" w:hAnsi="仿宋_GB2312" w:eastAsia="仿宋_GB2312" w:cs="仿宋_GB2312"/>
              </w:rPr>
              <w:t>有酒庄文化体验功能，有系统的风土体系和风土特色。基本满足酒庄简单的接待服务。有SC认证。</w:t>
            </w:r>
          </w:p>
        </w:tc>
      </w:tr>
    </w:tbl>
    <w:p>
      <w:pPr>
        <w:pStyle w:val="6"/>
        <w:spacing w:before="0" w:beforeAutospacing="0" w:after="0" w:afterAutospacing="0" w:line="240" w:lineRule="exact"/>
        <w:rPr>
          <w:rFonts w:hint="eastAsia" w:ascii="黑体" w:eastAsia="黑体"/>
        </w:rPr>
      </w:pPr>
    </w:p>
    <w:p>
      <w:pPr>
        <w:pStyle w:val="6"/>
        <w:spacing w:before="0" w:beforeAutospacing="0" w:after="0" w:afterAutospacing="0" w:line="360" w:lineRule="exact"/>
        <w:ind w:left="1320" w:hanging="1320" w:hangingChars="550"/>
        <w:rPr>
          <w:rFonts w:hint="eastAsia" w:ascii="黑体" w:eastAsia="黑体"/>
        </w:rPr>
      </w:pPr>
    </w:p>
    <w:p>
      <w:pPr>
        <w:pStyle w:val="6"/>
        <w:spacing w:before="0" w:beforeAutospacing="0" w:after="0" w:afterAutospacing="0" w:line="360" w:lineRule="exact"/>
        <w:ind w:left="1320" w:hanging="1320" w:hangingChars="550"/>
        <w:rPr>
          <w:rFonts w:hint="eastAsia"/>
        </w:rPr>
      </w:pPr>
      <w:r>
        <w:rPr>
          <w:rFonts w:hint="eastAsia" w:ascii="黑体" w:eastAsia="黑体"/>
        </w:rPr>
        <w:t>备注：</w:t>
      </w:r>
      <w:r>
        <w:rPr>
          <w:rFonts w:hint="eastAsia"/>
        </w:rPr>
        <w:t xml:space="preserve">  1.盲品得分是指酒庄产品同一品牌的三个垂直年份酒的品鉴平均分；若得分低于70分，取消评定资格。</w:t>
      </w:r>
    </w:p>
    <w:p>
      <w:pPr>
        <w:pStyle w:val="6"/>
        <w:spacing w:before="0" w:beforeAutospacing="0" w:after="0" w:afterAutospacing="0" w:line="360" w:lineRule="exact"/>
        <w:ind w:firstLine="960" w:firstLineChars="400"/>
        <w:rPr>
          <w:rFonts w:hint="eastAsia"/>
        </w:rPr>
      </w:pPr>
      <w:r>
        <w:rPr>
          <w:rFonts w:hint="eastAsia"/>
        </w:rPr>
        <w:t>2.专家指导价是指专家根据《宁夏贺兰山东麓葡萄酒产区列级酒庄评分标准》对葡萄酒质量进行综合评定后的建议价格，</w:t>
      </w:r>
    </w:p>
    <w:p>
      <w:pPr>
        <w:pStyle w:val="6"/>
        <w:spacing w:before="0" w:beforeAutospacing="0" w:after="0" w:afterAutospacing="0" w:line="360" w:lineRule="exact"/>
        <w:ind w:firstLine="1200" w:firstLineChars="500"/>
        <w:rPr>
          <w:rFonts w:hint="eastAsia"/>
        </w:rPr>
      </w:pPr>
      <w:r>
        <w:rPr>
          <w:rFonts w:hint="eastAsia"/>
        </w:rPr>
        <w:t>主要体现葡萄酒的性价比。</w:t>
      </w:r>
    </w:p>
    <w:p>
      <w:pPr>
        <w:pStyle w:val="6"/>
        <w:spacing w:before="0" w:beforeAutospacing="0" w:after="0" w:afterAutospacing="0" w:line="360" w:lineRule="exact"/>
        <w:ind w:firstLine="960" w:firstLineChars="400"/>
        <w:rPr>
          <w:rFonts w:hint="eastAsia"/>
        </w:rPr>
      </w:pPr>
      <w:r>
        <w:rPr>
          <w:rFonts w:hint="eastAsia"/>
        </w:rPr>
        <w:t>3.参加国际、国内葡萄酒比赛，选送样品前，需经宁夏贺兰山东麓葡萄与葡萄酒国际联合会检验同意并备案。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2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紫鹤  未名  爱拜</cp:lastModifiedBy>
  <dcterms:modified xsi:type="dcterms:W3CDTF">2018-05-29T08:49:25Z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