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0" w:lineRule="exact"/>
        <w:rPr>
          <w:rFonts w:hint="eastAsia" w:ascii="黑体" w:eastAsia="黑体"/>
          <w:sz w:val="32"/>
          <w:szCs w:val="32"/>
        </w:rPr>
      </w:pPr>
      <w:r>
        <w:rPr>
          <w:rFonts w:hint="eastAsia" w:ascii="黑体" w:eastAsia="黑体"/>
          <w:sz w:val="32"/>
          <w:szCs w:val="32"/>
        </w:rPr>
        <w:t>附件1</w:t>
      </w:r>
    </w:p>
    <w:p>
      <w:pPr>
        <w:snapToGrid w:val="0"/>
        <w:spacing w:line="580" w:lineRule="exact"/>
        <w:ind w:firstLine="720" w:firstLineChars="200"/>
        <w:jc w:val="center"/>
        <w:rPr>
          <w:rFonts w:hint="eastAsia" w:eastAsia="方正小标宋简体"/>
          <w:sz w:val="36"/>
          <w:szCs w:val="36"/>
        </w:rPr>
      </w:pPr>
      <w:r>
        <w:rPr>
          <w:rFonts w:hint="eastAsia" w:eastAsia="方正小标宋简体"/>
          <w:sz w:val="36"/>
          <w:szCs w:val="36"/>
        </w:rPr>
        <w:t>宁夏</w:t>
      </w:r>
      <w:r>
        <w:rPr>
          <w:rFonts w:eastAsia="方正小标宋简体"/>
          <w:sz w:val="36"/>
          <w:szCs w:val="36"/>
        </w:rPr>
        <w:t>2015年度实行最严格水资源管理制度和</w:t>
      </w:r>
    </w:p>
    <w:p>
      <w:pPr>
        <w:snapToGrid w:val="0"/>
        <w:spacing w:line="580" w:lineRule="exact"/>
        <w:ind w:firstLine="720" w:firstLineChars="200"/>
        <w:jc w:val="center"/>
        <w:rPr>
          <w:rFonts w:eastAsia="方正小标宋简体"/>
          <w:sz w:val="36"/>
          <w:szCs w:val="36"/>
        </w:rPr>
      </w:pPr>
      <w:r>
        <w:rPr>
          <w:rFonts w:eastAsia="方正小标宋简体"/>
          <w:sz w:val="36"/>
          <w:szCs w:val="36"/>
        </w:rPr>
        <w:t>节水型社会建设考核工作方案</w:t>
      </w:r>
    </w:p>
    <w:p>
      <w:pPr>
        <w:snapToGrid w:val="0"/>
        <w:spacing w:line="580" w:lineRule="exact"/>
        <w:ind w:firstLine="640" w:firstLineChars="200"/>
        <w:rPr>
          <w:rFonts w:eastAsia="仿宋_GB2312"/>
          <w:sz w:val="32"/>
          <w:szCs w:val="32"/>
        </w:rPr>
      </w:pPr>
    </w:p>
    <w:p>
      <w:pPr>
        <w:snapToGrid w:val="0"/>
        <w:spacing w:line="580" w:lineRule="exact"/>
        <w:ind w:firstLine="640" w:firstLineChars="200"/>
        <w:rPr>
          <w:rFonts w:eastAsia="仿宋_GB2312"/>
          <w:sz w:val="32"/>
          <w:szCs w:val="32"/>
        </w:rPr>
      </w:pPr>
      <w:r>
        <w:rPr>
          <w:rFonts w:eastAsia="仿宋_GB2312"/>
          <w:sz w:val="32"/>
          <w:szCs w:val="32"/>
        </w:rPr>
        <w:t>根据《自治区人民政府关于实行最严格水资源管理制度的意见》（宁政发〔2012〕167号）、《</w:t>
      </w:r>
      <w:r>
        <w:rPr>
          <w:rFonts w:hint="eastAsia" w:eastAsia="仿宋_GB2312"/>
          <w:sz w:val="32"/>
          <w:szCs w:val="32"/>
        </w:rPr>
        <w:t>自治区人民政府办公厅关于</w:t>
      </w:r>
      <w:r>
        <w:rPr>
          <w:rFonts w:eastAsia="仿宋_GB2312"/>
          <w:sz w:val="32"/>
          <w:szCs w:val="32"/>
        </w:rPr>
        <w:t>实行最严格水资源管理制度考核办法</w:t>
      </w:r>
      <w:r>
        <w:rPr>
          <w:rFonts w:hint="eastAsia" w:eastAsia="仿宋_GB2312"/>
          <w:sz w:val="32"/>
          <w:szCs w:val="32"/>
        </w:rPr>
        <w:t>的通知</w:t>
      </w:r>
      <w:r>
        <w:rPr>
          <w:rFonts w:eastAsia="仿宋_GB2312"/>
          <w:sz w:val="32"/>
          <w:szCs w:val="32"/>
        </w:rPr>
        <w:t>》（宁政办发〔2013〕61号）以及《宁夏实行最严格水资源制度和节水型社会建设考核工作实施方案》（宁水政发〔2014〕20号</w:t>
      </w:r>
      <w:r>
        <w:rPr>
          <w:rFonts w:hint="eastAsia" w:eastAsia="仿宋_GB2312"/>
          <w:sz w:val="32"/>
          <w:szCs w:val="32"/>
        </w:rPr>
        <w:t>，</w:t>
      </w:r>
      <w:r>
        <w:rPr>
          <w:rFonts w:eastAsia="仿宋_GB2312"/>
          <w:sz w:val="32"/>
          <w:szCs w:val="32"/>
        </w:rPr>
        <w:t>以下简称《实施方案》）要求，为做好2015年度实行最严格水资源管理制度和节水型社会建设考核工作，制定本方案。</w:t>
      </w:r>
    </w:p>
    <w:p>
      <w:pPr>
        <w:snapToGrid w:val="0"/>
        <w:spacing w:line="580" w:lineRule="exact"/>
        <w:ind w:firstLine="640" w:firstLineChars="200"/>
        <w:outlineLvl w:val="0"/>
        <w:rPr>
          <w:rFonts w:eastAsia="黑体"/>
          <w:sz w:val="32"/>
          <w:szCs w:val="32"/>
        </w:rPr>
      </w:pPr>
      <w:r>
        <w:rPr>
          <w:rFonts w:eastAsia="黑体"/>
          <w:sz w:val="32"/>
          <w:szCs w:val="32"/>
        </w:rPr>
        <w:t xml:space="preserve"> 一、考核内容</w:t>
      </w:r>
    </w:p>
    <w:p>
      <w:pPr>
        <w:snapToGrid w:val="0"/>
        <w:spacing w:line="580" w:lineRule="exact"/>
        <w:ind w:firstLine="640" w:firstLineChars="200"/>
        <w:rPr>
          <w:rFonts w:eastAsia="仿宋_GB2312"/>
          <w:sz w:val="32"/>
          <w:szCs w:val="32"/>
        </w:rPr>
      </w:pPr>
      <w:r>
        <w:rPr>
          <w:rFonts w:eastAsia="仿宋_GB2312"/>
          <w:sz w:val="32"/>
          <w:szCs w:val="32"/>
        </w:rPr>
        <w:t>对各</w:t>
      </w:r>
      <w:r>
        <w:rPr>
          <w:rFonts w:hint="eastAsia" w:eastAsia="仿宋_GB2312"/>
          <w:sz w:val="32"/>
          <w:szCs w:val="32"/>
        </w:rPr>
        <w:t>地级</w:t>
      </w:r>
      <w:r>
        <w:rPr>
          <w:rFonts w:eastAsia="仿宋_GB2312"/>
          <w:sz w:val="32"/>
          <w:szCs w:val="32"/>
        </w:rPr>
        <w:t>市和</w:t>
      </w:r>
      <w:r>
        <w:rPr>
          <w:rFonts w:hint="eastAsia" w:eastAsia="仿宋_GB2312"/>
          <w:sz w:val="32"/>
          <w:szCs w:val="32"/>
        </w:rPr>
        <w:t>宁夏</w:t>
      </w:r>
      <w:r>
        <w:rPr>
          <w:rFonts w:eastAsia="仿宋_GB2312"/>
          <w:sz w:val="32"/>
          <w:szCs w:val="32"/>
        </w:rPr>
        <w:t>农垦集团</w:t>
      </w:r>
      <w:r>
        <w:rPr>
          <w:rFonts w:hint="eastAsia" w:eastAsia="仿宋_GB2312"/>
          <w:sz w:val="32"/>
          <w:szCs w:val="32"/>
        </w:rPr>
        <w:t>公司</w:t>
      </w:r>
      <w:r>
        <w:rPr>
          <w:rFonts w:eastAsia="仿宋_GB2312"/>
          <w:sz w:val="32"/>
          <w:szCs w:val="32"/>
        </w:rPr>
        <w:t>2015年度</w:t>
      </w:r>
      <w:r>
        <w:rPr>
          <w:rFonts w:hint="eastAsia" w:eastAsia="仿宋_GB2312"/>
          <w:sz w:val="32"/>
          <w:szCs w:val="32"/>
        </w:rPr>
        <w:t>落实</w:t>
      </w:r>
      <w:r>
        <w:rPr>
          <w:rFonts w:eastAsia="仿宋_GB2312"/>
          <w:sz w:val="32"/>
          <w:szCs w:val="32"/>
        </w:rPr>
        <w:t>最严格水资源管理制度和节水型社会建设目标完成情况、制度建设和措施落实情况</w:t>
      </w:r>
      <w:r>
        <w:rPr>
          <w:rFonts w:hint="eastAsia" w:eastAsia="仿宋_GB2312"/>
          <w:sz w:val="32"/>
          <w:szCs w:val="32"/>
        </w:rPr>
        <w:t>进行考核；</w:t>
      </w:r>
      <w:r>
        <w:rPr>
          <w:rFonts w:eastAsia="仿宋_GB2312"/>
          <w:sz w:val="32"/>
          <w:szCs w:val="32"/>
        </w:rPr>
        <w:t>对各县（市</w:t>
      </w:r>
      <w:r>
        <w:rPr>
          <w:rFonts w:hint="eastAsia" w:eastAsia="仿宋_GB2312"/>
          <w:sz w:val="32"/>
          <w:szCs w:val="32"/>
        </w:rPr>
        <w:t>、</w:t>
      </w:r>
      <w:r>
        <w:rPr>
          <w:rFonts w:eastAsia="仿宋_GB2312"/>
          <w:sz w:val="32"/>
          <w:szCs w:val="32"/>
        </w:rPr>
        <w:t>区）开展节水型县（区）建设实施情况</w:t>
      </w:r>
      <w:r>
        <w:rPr>
          <w:rFonts w:hint="eastAsia" w:eastAsia="仿宋_GB2312"/>
          <w:sz w:val="32"/>
          <w:szCs w:val="32"/>
        </w:rPr>
        <w:t>进行</w:t>
      </w:r>
      <w:r>
        <w:rPr>
          <w:rFonts w:eastAsia="仿宋_GB2312"/>
          <w:sz w:val="32"/>
          <w:szCs w:val="32"/>
        </w:rPr>
        <w:t>考核。</w:t>
      </w:r>
    </w:p>
    <w:p>
      <w:pPr>
        <w:snapToGrid w:val="0"/>
        <w:spacing w:line="580" w:lineRule="exact"/>
        <w:ind w:firstLine="643" w:firstLineChars="200"/>
        <w:outlineLvl w:val="0"/>
        <w:rPr>
          <w:rFonts w:hint="eastAsia" w:eastAsia="楷体_GB2312"/>
          <w:sz w:val="32"/>
          <w:szCs w:val="32"/>
        </w:rPr>
      </w:pPr>
      <w:r>
        <w:rPr>
          <w:rFonts w:eastAsia="楷体_GB2312"/>
          <w:b/>
          <w:sz w:val="32"/>
          <w:szCs w:val="32"/>
        </w:rPr>
        <w:t>（一）目标完成情况</w:t>
      </w:r>
      <w:r>
        <w:rPr>
          <w:rFonts w:hint="eastAsia" w:eastAsia="楷体_GB2312"/>
          <w:sz w:val="32"/>
          <w:szCs w:val="32"/>
        </w:rPr>
        <w:t>。</w:t>
      </w:r>
    </w:p>
    <w:p>
      <w:pPr>
        <w:snapToGrid w:val="0"/>
        <w:spacing w:line="580" w:lineRule="exact"/>
        <w:ind w:firstLine="640" w:firstLineChars="200"/>
        <w:rPr>
          <w:rFonts w:eastAsia="仿宋_GB2312"/>
          <w:sz w:val="32"/>
          <w:szCs w:val="32"/>
        </w:rPr>
      </w:pPr>
      <w:r>
        <w:rPr>
          <w:rFonts w:eastAsia="仿宋_GB2312"/>
          <w:sz w:val="32"/>
          <w:szCs w:val="32"/>
        </w:rPr>
        <w:t>指标定义及计算、评分方法见《实施方案》。按照职能及工作要求，自治区各</w:t>
      </w:r>
      <w:r>
        <w:rPr>
          <w:rFonts w:hint="eastAsia" w:eastAsia="仿宋_GB2312"/>
          <w:sz w:val="32"/>
          <w:szCs w:val="32"/>
        </w:rPr>
        <w:t>有</w:t>
      </w:r>
      <w:r>
        <w:rPr>
          <w:rFonts w:eastAsia="仿宋_GB2312"/>
          <w:sz w:val="32"/>
          <w:szCs w:val="32"/>
        </w:rPr>
        <w:t>关部门分别对相应考核指标完成情况进行资料检查、评估和赋分。</w:t>
      </w:r>
    </w:p>
    <w:p>
      <w:pPr>
        <w:snapToGrid w:val="0"/>
        <w:spacing w:line="580" w:lineRule="exact"/>
        <w:ind w:firstLine="640" w:firstLineChars="200"/>
        <w:rPr>
          <w:rFonts w:hint="eastAsia" w:eastAsia="仿宋_GB2312"/>
          <w:sz w:val="32"/>
          <w:szCs w:val="32"/>
        </w:rPr>
      </w:pPr>
      <w:r>
        <w:rPr>
          <w:rFonts w:eastAsia="仿宋_GB2312"/>
          <w:sz w:val="32"/>
          <w:szCs w:val="32"/>
        </w:rPr>
        <w:t>1.用水总量</w:t>
      </w:r>
      <w:r>
        <w:rPr>
          <w:rFonts w:hint="eastAsia" w:eastAsia="仿宋_GB2312"/>
          <w:sz w:val="32"/>
          <w:szCs w:val="32"/>
        </w:rPr>
        <w:t>。</w:t>
      </w:r>
    </w:p>
    <w:p>
      <w:pPr>
        <w:snapToGrid w:val="0"/>
        <w:spacing w:line="580" w:lineRule="exact"/>
        <w:ind w:firstLine="640" w:firstLineChars="200"/>
        <w:rPr>
          <w:rFonts w:eastAsia="仿宋_GB2312"/>
          <w:sz w:val="32"/>
          <w:szCs w:val="32"/>
        </w:rPr>
      </w:pPr>
      <w:r>
        <w:rPr>
          <w:rFonts w:eastAsia="仿宋_GB2312"/>
          <w:sz w:val="32"/>
          <w:szCs w:val="32"/>
        </w:rPr>
        <w:t>数据采用2015年宁夏水资源公报资料。</w:t>
      </w:r>
    </w:p>
    <w:p>
      <w:pPr>
        <w:snapToGrid w:val="0"/>
        <w:spacing w:line="580" w:lineRule="exact"/>
        <w:ind w:firstLine="640" w:firstLineChars="200"/>
        <w:rPr>
          <w:rFonts w:hint="eastAsia" w:eastAsia="仿宋_GB2312"/>
          <w:sz w:val="32"/>
          <w:szCs w:val="32"/>
        </w:rPr>
      </w:pPr>
      <w:r>
        <w:rPr>
          <w:rFonts w:eastAsia="仿宋_GB2312"/>
          <w:sz w:val="32"/>
          <w:szCs w:val="32"/>
        </w:rPr>
        <w:t>责任单位：自治区水利厅</w:t>
      </w:r>
      <w:r>
        <w:rPr>
          <w:rFonts w:hint="eastAsia" w:eastAsia="仿宋_GB2312"/>
          <w:sz w:val="32"/>
          <w:szCs w:val="32"/>
        </w:rPr>
        <w:t>。</w:t>
      </w:r>
    </w:p>
    <w:p>
      <w:pPr>
        <w:snapToGrid w:val="0"/>
        <w:spacing w:line="580" w:lineRule="exact"/>
        <w:ind w:firstLine="640" w:firstLineChars="200"/>
        <w:rPr>
          <w:rFonts w:hint="eastAsia" w:eastAsia="仿宋_GB2312"/>
          <w:sz w:val="32"/>
          <w:szCs w:val="32"/>
        </w:rPr>
      </w:pPr>
      <w:r>
        <w:rPr>
          <w:rFonts w:eastAsia="仿宋_GB2312"/>
          <w:sz w:val="32"/>
          <w:szCs w:val="32"/>
        </w:rPr>
        <w:t>2.万元工业增加值用水量</w:t>
      </w:r>
      <w:r>
        <w:rPr>
          <w:rFonts w:hint="eastAsia" w:eastAsia="仿宋_GB2312"/>
          <w:sz w:val="32"/>
          <w:szCs w:val="32"/>
        </w:rPr>
        <w:t>。</w:t>
      </w:r>
    </w:p>
    <w:p>
      <w:pPr>
        <w:snapToGrid w:val="0"/>
        <w:spacing w:line="580" w:lineRule="exact"/>
        <w:ind w:firstLine="640" w:firstLineChars="200"/>
        <w:rPr>
          <w:rFonts w:hint="eastAsia" w:eastAsia="仿宋_GB2312"/>
          <w:sz w:val="32"/>
          <w:szCs w:val="32"/>
        </w:rPr>
      </w:pPr>
      <w:r>
        <w:rPr>
          <w:rFonts w:eastAsia="仿宋_GB2312"/>
          <w:sz w:val="32"/>
          <w:szCs w:val="32"/>
        </w:rPr>
        <w:t>责任单位：自治区经济和信息化委</w:t>
      </w:r>
      <w:r>
        <w:rPr>
          <w:rFonts w:hint="eastAsia" w:eastAsia="仿宋_GB2312"/>
          <w:sz w:val="32"/>
          <w:szCs w:val="32"/>
        </w:rPr>
        <w:t>。</w:t>
      </w:r>
    </w:p>
    <w:p>
      <w:pPr>
        <w:snapToGrid w:val="0"/>
        <w:spacing w:line="580" w:lineRule="exact"/>
        <w:ind w:firstLine="640" w:firstLineChars="200"/>
        <w:rPr>
          <w:rFonts w:hint="eastAsia" w:eastAsia="仿宋_GB2312"/>
          <w:sz w:val="32"/>
          <w:szCs w:val="32"/>
        </w:rPr>
      </w:pPr>
      <w:r>
        <w:rPr>
          <w:rFonts w:eastAsia="仿宋_GB2312"/>
          <w:sz w:val="32"/>
          <w:szCs w:val="32"/>
        </w:rPr>
        <w:t>3.万元GDP用水量</w:t>
      </w:r>
      <w:r>
        <w:rPr>
          <w:rFonts w:hint="eastAsia" w:eastAsia="仿宋_GB2312"/>
          <w:sz w:val="32"/>
          <w:szCs w:val="32"/>
        </w:rPr>
        <w:t>。</w:t>
      </w:r>
    </w:p>
    <w:p>
      <w:pPr>
        <w:snapToGrid w:val="0"/>
        <w:spacing w:line="580" w:lineRule="exact"/>
        <w:ind w:firstLine="640" w:firstLineChars="200"/>
        <w:rPr>
          <w:rFonts w:hint="eastAsia" w:eastAsia="仿宋_GB2312"/>
          <w:sz w:val="32"/>
          <w:szCs w:val="32"/>
        </w:rPr>
      </w:pPr>
      <w:r>
        <w:rPr>
          <w:rFonts w:eastAsia="仿宋_GB2312"/>
          <w:sz w:val="32"/>
          <w:szCs w:val="32"/>
        </w:rPr>
        <w:t>责任单位：自治区水利厅</w:t>
      </w:r>
      <w:r>
        <w:rPr>
          <w:rFonts w:hint="eastAsia" w:eastAsia="仿宋_GB2312"/>
          <w:sz w:val="32"/>
          <w:szCs w:val="32"/>
        </w:rPr>
        <w:t>。</w:t>
      </w:r>
    </w:p>
    <w:p>
      <w:pPr>
        <w:snapToGrid w:val="0"/>
        <w:spacing w:line="580" w:lineRule="exact"/>
        <w:ind w:firstLine="640" w:firstLineChars="200"/>
        <w:rPr>
          <w:rFonts w:hint="eastAsia" w:eastAsia="仿宋_GB2312"/>
          <w:sz w:val="32"/>
          <w:szCs w:val="32"/>
        </w:rPr>
      </w:pPr>
      <w:r>
        <w:rPr>
          <w:rFonts w:eastAsia="仿宋_GB2312"/>
          <w:sz w:val="32"/>
          <w:szCs w:val="32"/>
        </w:rPr>
        <w:t>4.农田灌溉水有效利用系数</w:t>
      </w:r>
      <w:r>
        <w:rPr>
          <w:rFonts w:hint="eastAsia" w:eastAsia="仿宋_GB2312"/>
          <w:sz w:val="32"/>
          <w:szCs w:val="32"/>
        </w:rPr>
        <w:t>。</w:t>
      </w:r>
    </w:p>
    <w:p>
      <w:pPr>
        <w:snapToGrid w:val="0"/>
        <w:spacing w:line="580" w:lineRule="exact"/>
        <w:ind w:firstLine="640" w:firstLineChars="200"/>
        <w:rPr>
          <w:rFonts w:eastAsia="仿宋_GB2312"/>
          <w:sz w:val="32"/>
          <w:szCs w:val="32"/>
        </w:rPr>
      </w:pPr>
      <w:r>
        <w:rPr>
          <w:rFonts w:eastAsia="仿宋_GB2312"/>
          <w:sz w:val="32"/>
          <w:szCs w:val="32"/>
        </w:rPr>
        <w:t>依据《全国农田灌溉水有效利用系数测算分析技术指导细则》（办农水〔2013〕248号）测算。</w:t>
      </w:r>
    </w:p>
    <w:p>
      <w:pPr>
        <w:snapToGrid w:val="0"/>
        <w:spacing w:line="580" w:lineRule="exact"/>
        <w:ind w:firstLine="640" w:firstLineChars="200"/>
        <w:rPr>
          <w:rFonts w:hint="eastAsia" w:eastAsia="仿宋_GB2312"/>
          <w:sz w:val="32"/>
          <w:szCs w:val="32"/>
        </w:rPr>
      </w:pPr>
      <w:r>
        <w:rPr>
          <w:rFonts w:eastAsia="仿宋_GB2312"/>
          <w:sz w:val="32"/>
          <w:szCs w:val="32"/>
        </w:rPr>
        <w:t>责任单位：自治区水利厅</w:t>
      </w:r>
      <w:r>
        <w:rPr>
          <w:rFonts w:hint="eastAsia" w:eastAsia="仿宋_GB2312"/>
          <w:sz w:val="32"/>
          <w:szCs w:val="32"/>
        </w:rPr>
        <w:t>。</w:t>
      </w:r>
    </w:p>
    <w:p>
      <w:pPr>
        <w:snapToGrid w:val="0"/>
        <w:spacing w:line="580" w:lineRule="exact"/>
        <w:ind w:firstLine="640" w:firstLineChars="200"/>
        <w:rPr>
          <w:rFonts w:hint="eastAsia" w:eastAsia="仿宋_GB2312"/>
          <w:sz w:val="32"/>
          <w:szCs w:val="32"/>
        </w:rPr>
      </w:pPr>
      <w:r>
        <w:rPr>
          <w:rFonts w:eastAsia="仿宋_GB2312"/>
          <w:sz w:val="32"/>
          <w:szCs w:val="32"/>
        </w:rPr>
        <w:t>5.工业用水重复利用率</w:t>
      </w:r>
      <w:r>
        <w:rPr>
          <w:rFonts w:hint="eastAsia" w:eastAsia="仿宋_GB2312"/>
          <w:sz w:val="32"/>
          <w:szCs w:val="32"/>
        </w:rPr>
        <w:t>。</w:t>
      </w:r>
    </w:p>
    <w:p>
      <w:pPr>
        <w:snapToGrid w:val="0"/>
        <w:spacing w:line="580" w:lineRule="exact"/>
        <w:ind w:firstLine="640" w:firstLineChars="200"/>
        <w:rPr>
          <w:rFonts w:hint="eastAsia" w:eastAsia="仿宋_GB2312"/>
          <w:sz w:val="32"/>
          <w:szCs w:val="32"/>
        </w:rPr>
      </w:pPr>
      <w:r>
        <w:rPr>
          <w:rFonts w:eastAsia="仿宋_GB2312"/>
          <w:sz w:val="32"/>
          <w:szCs w:val="32"/>
        </w:rPr>
        <w:t>责任单位：自治区经济和信息化委</w:t>
      </w:r>
      <w:r>
        <w:rPr>
          <w:rFonts w:hint="eastAsia" w:eastAsia="仿宋_GB2312"/>
          <w:sz w:val="32"/>
          <w:szCs w:val="32"/>
        </w:rPr>
        <w:t>。</w:t>
      </w:r>
    </w:p>
    <w:p>
      <w:pPr>
        <w:snapToGrid w:val="0"/>
        <w:spacing w:line="580" w:lineRule="exact"/>
        <w:ind w:firstLine="640" w:firstLineChars="200"/>
        <w:rPr>
          <w:rFonts w:hint="eastAsia" w:eastAsia="仿宋_GB2312"/>
          <w:sz w:val="32"/>
          <w:szCs w:val="32"/>
        </w:rPr>
      </w:pPr>
      <w:r>
        <w:rPr>
          <w:rFonts w:eastAsia="仿宋_GB2312"/>
          <w:sz w:val="32"/>
          <w:szCs w:val="32"/>
        </w:rPr>
        <w:t>6.城镇污水集中处理率</w:t>
      </w:r>
      <w:r>
        <w:rPr>
          <w:rFonts w:hint="eastAsia" w:eastAsia="仿宋_GB2312"/>
          <w:sz w:val="32"/>
          <w:szCs w:val="32"/>
        </w:rPr>
        <w:t>。</w:t>
      </w:r>
    </w:p>
    <w:p>
      <w:pPr>
        <w:snapToGrid w:val="0"/>
        <w:spacing w:line="580" w:lineRule="exact"/>
        <w:ind w:firstLine="640" w:firstLineChars="200"/>
        <w:rPr>
          <w:rFonts w:hint="eastAsia" w:eastAsia="仿宋_GB2312"/>
          <w:sz w:val="32"/>
          <w:szCs w:val="32"/>
        </w:rPr>
      </w:pPr>
      <w:r>
        <w:rPr>
          <w:rFonts w:eastAsia="仿宋_GB2312"/>
          <w:sz w:val="32"/>
          <w:szCs w:val="32"/>
        </w:rPr>
        <w:t>责任单位：自治区住房城乡建设厅</w:t>
      </w:r>
      <w:r>
        <w:rPr>
          <w:rFonts w:hint="eastAsia" w:eastAsia="仿宋_GB2312"/>
          <w:sz w:val="32"/>
          <w:szCs w:val="32"/>
        </w:rPr>
        <w:t>。</w:t>
      </w:r>
    </w:p>
    <w:p>
      <w:pPr>
        <w:snapToGrid w:val="0"/>
        <w:spacing w:line="580" w:lineRule="exact"/>
        <w:ind w:firstLine="640" w:firstLineChars="200"/>
        <w:rPr>
          <w:rFonts w:hint="eastAsia" w:eastAsia="仿宋_GB2312"/>
          <w:sz w:val="32"/>
          <w:szCs w:val="32"/>
        </w:rPr>
      </w:pPr>
      <w:r>
        <w:rPr>
          <w:rFonts w:eastAsia="仿宋_GB2312"/>
          <w:sz w:val="32"/>
          <w:szCs w:val="32"/>
        </w:rPr>
        <w:t>7.再生水回用率</w:t>
      </w:r>
      <w:r>
        <w:rPr>
          <w:rFonts w:hint="eastAsia" w:eastAsia="仿宋_GB2312"/>
          <w:sz w:val="32"/>
          <w:szCs w:val="32"/>
        </w:rPr>
        <w:t>。</w:t>
      </w:r>
    </w:p>
    <w:p>
      <w:pPr>
        <w:snapToGrid w:val="0"/>
        <w:spacing w:line="580" w:lineRule="exact"/>
        <w:ind w:firstLine="640" w:firstLineChars="200"/>
        <w:rPr>
          <w:rFonts w:hint="eastAsia" w:eastAsia="仿宋_GB2312"/>
          <w:sz w:val="32"/>
          <w:szCs w:val="32"/>
        </w:rPr>
      </w:pPr>
      <w:r>
        <w:rPr>
          <w:rFonts w:eastAsia="仿宋_GB2312"/>
          <w:sz w:val="32"/>
          <w:szCs w:val="32"/>
        </w:rPr>
        <w:t>责任单位：自治区住房城乡建设厅</w:t>
      </w:r>
      <w:r>
        <w:rPr>
          <w:rFonts w:hint="eastAsia" w:eastAsia="仿宋_GB2312"/>
          <w:sz w:val="32"/>
          <w:szCs w:val="32"/>
        </w:rPr>
        <w:t>。</w:t>
      </w:r>
    </w:p>
    <w:p>
      <w:pPr>
        <w:snapToGrid w:val="0"/>
        <w:spacing w:line="580" w:lineRule="exact"/>
        <w:ind w:firstLine="640" w:firstLineChars="200"/>
        <w:rPr>
          <w:rFonts w:hint="eastAsia" w:eastAsia="仿宋_GB2312"/>
          <w:sz w:val="32"/>
          <w:szCs w:val="32"/>
        </w:rPr>
      </w:pPr>
      <w:r>
        <w:rPr>
          <w:rFonts w:eastAsia="仿宋_GB2312"/>
          <w:sz w:val="32"/>
          <w:szCs w:val="32"/>
        </w:rPr>
        <w:t>8.供水管网漏损率</w:t>
      </w:r>
      <w:r>
        <w:rPr>
          <w:rFonts w:hint="eastAsia" w:eastAsia="仿宋_GB2312"/>
          <w:sz w:val="32"/>
          <w:szCs w:val="32"/>
        </w:rPr>
        <w:t>。</w:t>
      </w:r>
    </w:p>
    <w:p>
      <w:pPr>
        <w:snapToGrid w:val="0"/>
        <w:spacing w:line="580" w:lineRule="exact"/>
        <w:ind w:firstLine="640" w:firstLineChars="200"/>
        <w:rPr>
          <w:rFonts w:hint="eastAsia" w:eastAsia="仿宋_GB2312"/>
          <w:sz w:val="32"/>
          <w:szCs w:val="32"/>
        </w:rPr>
      </w:pPr>
      <w:r>
        <w:rPr>
          <w:rFonts w:eastAsia="仿宋_GB2312"/>
          <w:sz w:val="32"/>
          <w:szCs w:val="32"/>
        </w:rPr>
        <w:t>责任单位：自治区住房城乡建设厅</w:t>
      </w:r>
      <w:r>
        <w:rPr>
          <w:rFonts w:hint="eastAsia" w:eastAsia="仿宋_GB2312"/>
          <w:sz w:val="32"/>
          <w:szCs w:val="32"/>
        </w:rPr>
        <w:t>。</w:t>
      </w:r>
    </w:p>
    <w:p>
      <w:pPr>
        <w:snapToGrid w:val="0"/>
        <w:spacing w:line="580" w:lineRule="exact"/>
        <w:ind w:firstLine="640" w:firstLineChars="200"/>
        <w:rPr>
          <w:rFonts w:hint="eastAsia" w:eastAsia="仿宋_GB2312"/>
          <w:sz w:val="32"/>
          <w:szCs w:val="32"/>
        </w:rPr>
      </w:pPr>
      <w:r>
        <w:rPr>
          <w:rFonts w:eastAsia="仿宋_GB2312"/>
          <w:sz w:val="32"/>
          <w:szCs w:val="32"/>
        </w:rPr>
        <w:t>9.节水型企业覆盖率</w:t>
      </w:r>
      <w:r>
        <w:rPr>
          <w:rFonts w:hint="eastAsia" w:eastAsia="仿宋_GB2312"/>
          <w:sz w:val="32"/>
          <w:szCs w:val="32"/>
        </w:rPr>
        <w:t>。</w:t>
      </w:r>
    </w:p>
    <w:p>
      <w:pPr>
        <w:snapToGrid w:val="0"/>
        <w:spacing w:line="580" w:lineRule="exact"/>
        <w:ind w:firstLine="640" w:firstLineChars="200"/>
        <w:rPr>
          <w:rFonts w:hint="eastAsia" w:eastAsia="仿宋_GB2312"/>
          <w:sz w:val="32"/>
          <w:szCs w:val="32"/>
        </w:rPr>
      </w:pPr>
      <w:r>
        <w:rPr>
          <w:rFonts w:eastAsia="仿宋_GB2312"/>
          <w:sz w:val="32"/>
          <w:szCs w:val="32"/>
        </w:rPr>
        <w:t>责任单位：自治区经济和信息化委</w:t>
      </w:r>
      <w:r>
        <w:rPr>
          <w:rFonts w:hint="eastAsia" w:eastAsia="仿宋_GB2312"/>
          <w:sz w:val="32"/>
          <w:szCs w:val="32"/>
        </w:rPr>
        <w:t>。</w:t>
      </w:r>
    </w:p>
    <w:p>
      <w:pPr>
        <w:snapToGrid w:val="0"/>
        <w:spacing w:line="580" w:lineRule="exact"/>
        <w:ind w:firstLine="640" w:firstLineChars="200"/>
        <w:rPr>
          <w:rFonts w:hint="eastAsia" w:eastAsia="仿宋_GB2312"/>
          <w:sz w:val="32"/>
          <w:szCs w:val="32"/>
        </w:rPr>
      </w:pPr>
      <w:r>
        <w:rPr>
          <w:rFonts w:eastAsia="仿宋_GB2312"/>
          <w:sz w:val="32"/>
          <w:szCs w:val="32"/>
        </w:rPr>
        <w:t>10.节水型公共机构覆盖率</w:t>
      </w:r>
      <w:r>
        <w:rPr>
          <w:rFonts w:hint="eastAsia" w:eastAsia="仿宋_GB2312"/>
          <w:sz w:val="32"/>
          <w:szCs w:val="32"/>
        </w:rPr>
        <w:t>。</w:t>
      </w:r>
    </w:p>
    <w:p>
      <w:pPr>
        <w:snapToGrid w:val="0"/>
        <w:spacing w:line="580" w:lineRule="exact"/>
        <w:ind w:firstLine="640" w:firstLineChars="200"/>
        <w:rPr>
          <w:rFonts w:hint="eastAsia" w:eastAsia="仿宋_GB2312"/>
          <w:sz w:val="32"/>
          <w:szCs w:val="32"/>
        </w:rPr>
      </w:pPr>
      <w:r>
        <w:rPr>
          <w:rFonts w:eastAsia="仿宋_GB2312"/>
          <w:sz w:val="32"/>
          <w:szCs w:val="32"/>
        </w:rPr>
        <w:t>责任单位：自治区</w:t>
      </w:r>
      <w:r>
        <w:rPr>
          <w:rFonts w:hint="eastAsia" w:eastAsia="仿宋_GB2312"/>
          <w:sz w:val="32"/>
          <w:szCs w:val="32"/>
        </w:rPr>
        <w:t>人民政府</w:t>
      </w:r>
      <w:r>
        <w:rPr>
          <w:rFonts w:eastAsia="仿宋_GB2312"/>
          <w:sz w:val="32"/>
          <w:szCs w:val="32"/>
        </w:rPr>
        <w:t>机关事务管理局</w:t>
      </w:r>
      <w:r>
        <w:rPr>
          <w:rFonts w:hint="eastAsia" w:eastAsia="仿宋_GB2312"/>
          <w:sz w:val="32"/>
          <w:szCs w:val="32"/>
        </w:rPr>
        <w:t>。</w:t>
      </w:r>
    </w:p>
    <w:p>
      <w:pPr>
        <w:snapToGrid w:val="0"/>
        <w:spacing w:line="580" w:lineRule="exact"/>
        <w:ind w:firstLine="640" w:firstLineChars="200"/>
        <w:rPr>
          <w:rFonts w:hint="eastAsia" w:eastAsia="仿宋_GB2312"/>
          <w:sz w:val="32"/>
          <w:szCs w:val="32"/>
        </w:rPr>
      </w:pPr>
      <w:r>
        <w:rPr>
          <w:rFonts w:eastAsia="仿宋_GB2312"/>
          <w:sz w:val="32"/>
          <w:szCs w:val="32"/>
        </w:rPr>
        <w:t>11.重要江河湖泊水功能区水质达标率</w:t>
      </w:r>
      <w:r>
        <w:rPr>
          <w:rFonts w:hint="eastAsia" w:eastAsia="仿宋_GB2312"/>
          <w:sz w:val="32"/>
          <w:szCs w:val="32"/>
        </w:rPr>
        <w:t>。</w:t>
      </w:r>
    </w:p>
    <w:p>
      <w:pPr>
        <w:snapToGrid w:val="0"/>
        <w:spacing w:line="580" w:lineRule="exact"/>
        <w:ind w:firstLine="640" w:firstLineChars="200"/>
        <w:rPr>
          <w:rFonts w:eastAsia="仿宋_GB2312"/>
          <w:sz w:val="32"/>
          <w:szCs w:val="32"/>
        </w:rPr>
      </w:pPr>
      <w:r>
        <w:rPr>
          <w:rFonts w:eastAsia="仿宋_GB2312"/>
          <w:sz w:val="32"/>
          <w:szCs w:val="32"/>
        </w:rPr>
        <w:t>依据《全国重要江河湖泊水功能区达标评价技术方案》（办资源〔2014〕54号）测算和统计。</w:t>
      </w:r>
    </w:p>
    <w:p>
      <w:pPr>
        <w:snapToGrid w:val="0"/>
        <w:spacing w:line="580" w:lineRule="exact"/>
        <w:ind w:firstLine="640" w:firstLineChars="200"/>
        <w:rPr>
          <w:rFonts w:hint="eastAsia" w:eastAsia="仿宋_GB2312"/>
          <w:sz w:val="32"/>
          <w:szCs w:val="32"/>
        </w:rPr>
      </w:pPr>
      <w:r>
        <w:rPr>
          <w:rFonts w:eastAsia="仿宋_GB2312"/>
          <w:sz w:val="32"/>
          <w:szCs w:val="32"/>
        </w:rPr>
        <w:t>责任单位：自治区环境保护厅</w:t>
      </w:r>
      <w:r>
        <w:rPr>
          <w:rFonts w:hint="eastAsia" w:eastAsia="仿宋_GB2312"/>
          <w:sz w:val="32"/>
          <w:szCs w:val="32"/>
        </w:rPr>
        <w:t>。</w:t>
      </w:r>
    </w:p>
    <w:p>
      <w:pPr>
        <w:snapToGrid w:val="0"/>
        <w:spacing w:line="580" w:lineRule="exact"/>
        <w:ind w:firstLine="640" w:firstLineChars="200"/>
        <w:rPr>
          <w:rFonts w:hint="eastAsia" w:eastAsia="仿宋_GB2312"/>
          <w:sz w:val="32"/>
          <w:szCs w:val="32"/>
        </w:rPr>
      </w:pPr>
      <w:r>
        <w:rPr>
          <w:rFonts w:eastAsia="仿宋_GB2312"/>
          <w:sz w:val="32"/>
          <w:szCs w:val="32"/>
        </w:rPr>
        <w:t>12.集中式饮用水源地水质达标率</w:t>
      </w:r>
      <w:r>
        <w:rPr>
          <w:rFonts w:hint="eastAsia" w:eastAsia="仿宋_GB2312"/>
          <w:sz w:val="32"/>
          <w:szCs w:val="32"/>
        </w:rPr>
        <w:t>。</w:t>
      </w:r>
    </w:p>
    <w:p>
      <w:pPr>
        <w:snapToGrid w:val="0"/>
        <w:spacing w:line="580" w:lineRule="exact"/>
        <w:ind w:firstLine="640" w:firstLineChars="200"/>
        <w:rPr>
          <w:rFonts w:hint="eastAsia" w:eastAsia="仿宋_GB2312"/>
          <w:sz w:val="32"/>
          <w:szCs w:val="32"/>
        </w:rPr>
      </w:pPr>
      <w:r>
        <w:rPr>
          <w:rFonts w:eastAsia="仿宋_GB2312"/>
          <w:sz w:val="32"/>
          <w:szCs w:val="32"/>
        </w:rPr>
        <w:t>责任单位：自治区环境保护厅</w:t>
      </w:r>
      <w:r>
        <w:rPr>
          <w:rFonts w:hint="eastAsia" w:eastAsia="仿宋_GB2312"/>
          <w:sz w:val="32"/>
          <w:szCs w:val="32"/>
        </w:rPr>
        <w:t>。</w:t>
      </w:r>
    </w:p>
    <w:p>
      <w:pPr>
        <w:snapToGrid w:val="0"/>
        <w:spacing w:line="580" w:lineRule="exact"/>
        <w:ind w:firstLine="643" w:firstLineChars="200"/>
        <w:outlineLvl w:val="0"/>
        <w:rPr>
          <w:rFonts w:eastAsia="楷体_GB2312"/>
          <w:sz w:val="32"/>
          <w:szCs w:val="32"/>
        </w:rPr>
      </w:pPr>
      <w:r>
        <w:rPr>
          <w:rFonts w:eastAsia="楷体_GB2312"/>
          <w:b/>
          <w:sz w:val="32"/>
          <w:szCs w:val="32"/>
        </w:rPr>
        <w:t>（二）制度建设和措施落实情况</w:t>
      </w:r>
      <w:r>
        <w:rPr>
          <w:rFonts w:hint="eastAsia" w:eastAsia="楷体_GB2312"/>
          <w:sz w:val="32"/>
          <w:szCs w:val="32"/>
        </w:rPr>
        <w:t>。</w:t>
      </w:r>
      <w:r>
        <w:rPr>
          <w:rFonts w:eastAsia="楷体_GB2312"/>
          <w:sz w:val="32"/>
          <w:szCs w:val="32"/>
        </w:rPr>
        <w:t xml:space="preserve"> </w:t>
      </w:r>
    </w:p>
    <w:p>
      <w:pPr>
        <w:snapToGrid w:val="0"/>
        <w:spacing w:line="580" w:lineRule="exact"/>
        <w:ind w:firstLine="640" w:firstLineChars="200"/>
        <w:rPr>
          <w:rFonts w:eastAsia="仿宋_GB2312"/>
          <w:sz w:val="32"/>
          <w:szCs w:val="32"/>
        </w:rPr>
      </w:pPr>
      <w:r>
        <w:rPr>
          <w:rFonts w:eastAsia="仿宋_GB2312"/>
          <w:sz w:val="32"/>
          <w:szCs w:val="32"/>
        </w:rPr>
        <w:t>主要评分内容包括用水总量控制、用水效率控制、水功能区限制纳污、水资源管理责任和考核等制度建设及相应措施落实情况四个方面。</w:t>
      </w:r>
    </w:p>
    <w:p>
      <w:pPr>
        <w:snapToGrid w:val="0"/>
        <w:spacing w:line="580" w:lineRule="exact"/>
        <w:ind w:firstLine="640" w:firstLineChars="200"/>
        <w:rPr>
          <w:rFonts w:eastAsia="仿宋_GB2312"/>
          <w:sz w:val="32"/>
          <w:szCs w:val="32"/>
        </w:rPr>
      </w:pPr>
      <w:r>
        <w:rPr>
          <w:rFonts w:eastAsia="仿宋_GB2312"/>
          <w:sz w:val="32"/>
          <w:szCs w:val="32"/>
        </w:rPr>
        <w:t>考核具体分工由考核组确定。</w:t>
      </w:r>
    </w:p>
    <w:p>
      <w:pPr>
        <w:snapToGrid w:val="0"/>
        <w:spacing w:line="580" w:lineRule="exact"/>
        <w:ind w:firstLine="643" w:firstLineChars="200"/>
        <w:outlineLvl w:val="0"/>
        <w:rPr>
          <w:rFonts w:hint="eastAsia" w:eastAsia="楷体_GB2312"/>
          <w:sz w:val="32"/>
          <w:szCs w:val="32"/>
        </w:rPr>
      </w:pPr>
      <w:r>
        <w:rPr>
          <w:rFonts w:eastAsia="楷体_GB2312"/>
          <w:b/>
          <w:sz w:val="32"/>
          <w:szCs w:val="32"/>
        </w:rPr>
        <w:t>（三）权重系数</w:t>
      </w:r>
      <w:r>
        <w:rPr>
          <w:rFonts w:hint="eastAsia" w:eastAsia="楷体_GB2312"/>
          <w:sz w:val="32"/>
          <w:szCs w:val="32"/>
        </w:rPr>
        <w:t>。</w:t>
      </w:r>
    </w:p>
    <w:p>
      <w:pPr>
        <w:snapToGrid w:val="0"/>
        <w:spacing w:line="580" w:lineRule="exact"/>
        <w:ind w:firstLine="640" w:firstLineChars="200"/>
        <w:rPr>
          <w:rFonts w:eastAsia="仿宋_GB2312"/>
          <w:sz w:val="32"/>
          <w:szCs w:val="32"/>
        </w:rPr>
      </w:pPr>
      <w:r>
        <w:rPr>
          <w:rFonts w:eastAsia="仿宋_GB2312"/>
          <w:sz w:val="32"/>
          <w:szCs w:val="32"/>
        </w:rPr>
        <w:t>2015年度目标完成情况、制度建设和措施落实情况权重系数分别为0.6和0.4。</w:t>
      </w:r>
    </w:p>
    <w:p>
      <w:pPr>
        <w:snapToGrid w:val="0"/>
        <w:spacing w:line="580" w:lineRule="exact"/>
        <w:ind w:firstLine="640" w:firstLineChars="200"/>
        <w:rPr>
          <w:rFonts w:eastAsia="仿宋_GB2312"/>
          <w:sz w:val="32"/>
          <w:szCs w:val="32"/>
        </w:rPr>
      </w:pPr>
      <w:r>
        <w:rPr>
          <w:rFonts w:eastAsia="仿宋_GB2312"/>
          <w:sz w:val="32"/>
          <w:szCs w:val="32"/>
        </w:rPr>
        <w:t>“十二五”期末考核由各年度考核平均得分（不包括2015年）和期末年考核得分加权。其中年度考核得分权重占40%，期末年考核得分占60%。</w:t>
      </w:r>
    </w:p>
    <w:p>
      <w:pPr>
        <w:snapToGrid w:val="0"/>
        <w:spacing w:line="580" w:lineRule="exact"/>
        <w:ind w:firstLine="640" w:firstLineChars="200"/>
        <w:outlineLvl w:val="0"/>
        <w:rPr>
          <w:rFonts w:eastAsia="黑体"/>
          <w:sz w:val="32"/>
          <w:szCs w:val="32"/>
        </w:rPr>
      </w:pPr>
      <w:r>
        <w:rPr>
          <w:rFonts w:eastAsia="黑体"/>
          <w:sz w:val="32"/>
          <w:szCs w:val="32"/>
        </w:rPr>
        <w:t>二、考核步骤</w:t>
      </w:r>
    </w:p>
    <w:p>
      <w:pPr>
        <w:snapToGrid w:val="0"/>
        <w:spacing w:line="580" w:lineRule="exact"/>
        <w:ind w:firstLine="643" w:firstLineChars="200"/>
        <w:outlineLvl w:val="0"/>
        <w:rPr>
          <w:rFonts w:hint="eastAsia" w:eastAsia="楷体_GB2312"/>
          <w:sz w:val="32"/>
          <w:szCs w:val="32"/>
        </w:rPr>
      </w:pPr>
      <w:r>
        <w:rPr>
          <w:rFonts w:eastAsia="楷体_GB2312"/>
          <w:b/>
          <w:sz w:val="32"/>
          <w:szCs w:val="32"/>
        </w:rPr>
        <w:t>（一）自查</w:t>
      </w:r>
      <w:r>
        <w:rPr>
          <w:rFonts w:hint="eastAsia" w:eastAsia="楷体_GB2312"/>
          <w:sz w:val="32"/>
          <w:szCs w:val="32"/>
        </w:rPr>
        <w:t>。</w:t>
      </w:r>
    </w:p>
    <w:p>
      <w:pPr>
        <w:snapToGrid w:val="0"/>
        <w:spacing w:line="580" w:lineRule="exact"/>
        <w:ind w:firstLine="640" w:firstLineChars="200"/>
        <w:rPr>
          <w:rFonts w:eastAsia="仿宋_GB2312"/>
          <w:sz w:val="32"/>
          <w:szCs w:val="32"/>
        </w:rPr>
      </w:pPr>
      <w:r>
        <w:rPr>
          <w:rFonts w:eastAsia="仿宋_GB2312"/>
          <w:sz w:val="32"/>
          <w:szCs w:val="32"/>
        </w:rPr>
        <w:t>接受考核的</w:t>
      </w:r>
      <w:r>
        <w:rPr>
          <w:rFonts w:hint="eastAsia" w:eastAsia="仿宋_GB2312"/>
          <w:sz w:val="32"/>
          <w:szCs w:val="32"/>
        </w:rPr>
        <w:t>地级</w:t>
      </w:r>
      <w:r>
        <w:rPr>
          <w:rFonts w:eastAsia="仿宋_GB2312"/>
          <w:sz w:val="32"/>
          <w:szCs w:val="32"/>
        </w:rPr>
        <w:t>市人民政府、</w:t>
      </w:r>
      <w:r>
        <w:rPr>
          <w:rFonts w:hint="eastAsia" w:eastAsia="仿宋_GB2312"/>
          <w:sz w:val="32"/>
          <w:szCs w:val="32"/>
        </w:rPr>
        <w:t>宁夏</w:t>
      </w:r>
      <w:r>
        <w:rPr>
          <w:rFonts w:eastAsia="仿宋_GB2312"/>
          <w:sz w:val="32"/>
          <w:szCs w:val="32"/>
        </w:rPr>
        <w:t>农垦集团</w:t>
      </w:r>
      <w:r>
        <w:rPr>
          <w:rFonts w:hint="eastAsia" w:eastAsia="仿宋_GB2312"/>
          <w:sz w:val="32"/>
          <w:szCs w:val="32"/>
        </w:rPr>
        <w:t>公司</w:t>
      </w:r>
      <w:r>
        <w:rPr>
          <w:rFonts w:eastAsia="仿宋_GB2312"/>
          <w:sz w:val="32"/>
          <w:szCs w:val="32"/>
        </w:rPr>
        <w:t>对照考核要求认真组织开展自查，形成自查报告，于</w:t>
      </w:r>
      <w:r>
        <w:rPr>
          <w:rFonts w:hint="eastAsia" w:eastAsia="仿宋_GB2312"/>
          <w:sz w:val="32"/>
          <w:szCs w:val="32"/>
        </w:rPr>
        <w:t>2016年</w:t>
      </w:r>
      <w:r>
        <w:rPr>
          <w:rFonts w:eastAsia="仿宋_GB2312"/>
          <w:sz w:val="32"/>
          <w:szCs w:val="32"/>
        </w:rPr>
        <w:t>2月</w:t>
      </w:r>
      <w:r>
        <w:rPr>
          <w:rFonts w:hint="eastAsia" w:eastAsia="仿宋_GB2312"/>
          <w:sz w:val="32"/>
          <w:szCs w:val="32"/>
        </w:rPr>
        <w:t>20</w:t>
      </w:r>
      <w:r>
        <w:rPr>
          <w:rFonts w:eastAsia="仿宋_GB2312"/>
          <w:sz w:val="32"/>
          <w:szCs w:val="32"/>
        </w:rPr>
        <w:t>日前</w:t>
      </w:r>
      <w:r>
        <w:rPr>
          <w:rFonts w:hint="eastAsia" w:eastAsia="仿宋_GB2312"/>
          <w:sz w:val="32"/>
          <w:szCs w:val="32"/>
        </w:rPr>
        <w:t>送</w:t>
      </w:r>
      <w:r>
        <w:rPr>
          <w:rFonts w:eastAsia="仿宋_GB2312"/>
          <w:sz w:val="32"/>
          <w:szCs w:val="32"/>
        </w:rPr>
        <w:t>自治区</w:t>
      </w:r>
      <w:r>
        <w:rPr>
          <w:rFonts w:hint="eastAsia" w:eastAsia="仿宋_GB2312"/>
          <w:sz w:val="32"/>
          <w:szCs w:val="32"/>
        </w:rPr>
        <w:t>水利厅</w:t>
      </w:r>
      <w:r>
        <w:rPr>
          <w:rFonts w:eastAsia="仿宋_GB2312"/>
          <w:sz w:val="32"/>
          <w:szCs w:val="32"/>
        </w:rPr>
        <w:t>，并抄送考核组成员单位。自查报告提纲见附件</w:t>
      </w:r>
      <w:r>
        <w:rPr>
          <w:rFonts w:hint="eastAsia" w:eastAsia="仿宋_GB2312"/>
          <w:sz w:val="32"/>
          <w:szCs w:val="32"/>
        </w:rPr>
        <w:t>2</w:t>
      </w:r>
      <w:r>
        <w:rPr>
          <w:rFonts w:eastAsia="仿宋_GB2312"/>
          <w:sz w:val="32"/>
          <w:szCs w:val="32"/>
        </w:rPr>
        <w:t>，相关技术资料要求见附件</w:t>
      </w:r>
      <w:r>
        <w:rPr>
          <w:rFonts w:hint="eastAsia" w:eastAsia="仿宋_GB2312"/>
          <w:sz w:val="32"/>
          <w:szCs w:val="32"/>
        </w:rPr>
        <w:t>3</w:t>
      </w:r>
      <w:r>
        <w:rPr>
          <w:rFonts w:eastAsia="仿宋_GB2312"/>
          <w:sz w:val="32"/>
          <w:szCs w:val="32"/>
        </w:rPr>
        <w:t>，制度建设和措施落实情况主要内容及具体评分表见附件</w:t>
      </w:r>
      <w:r>
        <w:rPr>
          <w:rFonts w:hint="eastAsia" w:eastAsia="仿宋_GB2312"/>
          <w:sz w:val="32"/>
          <w:szCs w:val="32"/>
        </w:rPr>
        <w:t>4</w:t>
      </w:r>
      <w:r>
        <w:rPr>
          <w:rFonts w:eastAsia="仿宋_GB2312"/>
          <w:sz w:val="32"/>
          <w:szCs w:val="32"/>
        </w:rPr>
        <w:t>。</w:t>
      </w:r>
    </w:p>
    <w:p>
      <w:pPr>
        <w:snapToGrid w:val="0"/>
        <w:spacing w:line="580" w:lineRule="exact"/>
        <w:ind w:firstLine="640" w:firstLineChars="200"/>
        <w:rPr>
          <w:rFonts w:eastAsia="仿宋_GB2312"/>
          <w:sz w:val="32"/>
          <w:szCs w:val="32"/>
        </w:rPr>
      </w:pPr>
      <w:r>
        <w:rPr>
          <w:rFonts w:eastAsia="仿宋_GB2312"/>
          <w:sz w:val="32"/>
          <w:szCs w:val="32"/>
        </w:rPr>
        <w:t>各县</w:t>
      </w:r>
      <w:r>
        <w:rPr>
          <w:rFonts w:hint="eastAsia" w:eastAsia="仿宋_GB2312"/>
          <w:sz w:val="32"/>
          <w:szCs w:val="32"/>
        </w:rPr>
        <w:t>（市、</w:t>
      </w:r>
      <w:r>
        <w:rPr>
          <w:rFonts w:eastAsia="仿宋_GB2312"/>
          <w:sz w:val="32"/>
          <w:szCs w:val="32"/>
        </w:rPr>
        <w:t>区</w:t>
      </w:r>
      <w:r>
        <w:rPr>
          <w:rFonts w:hint="eastAsia" w:eastAsia="仿宋_GB2312"/>
          <w:sz w:val="32"/>
          <w:szCs w:val="32"/>
        </w:rPr>
        <w:t>）</w:t>
      </w:r>
      <w:r>
        <w:rPr>
          <w:rFonts w:eastAsia="仿宋_GB2312"/>
          <w:sz w:val="32"/>
          <w:szCs w:val="32"/>
        </w:rPr>
        <w:t>按照《宁夏节水型县（区）达标建设行动方案》（宁水资发〔2014〕20号）明确的内容和标准，报送自查报告及相关技术资料。</w:t>
      </w:r>
    </w:p>
    <w:p>
      <w:pPr>
        <w:snapToGrid w:val="0"/>
        <w:spacing w:line="580" w:lineRule="exact"/>
        <w:ind w:firstLine="643" w:firstLineChars="200"/>
        <w:outlineLvl w:val="0"/>
        <w:rPr>
          <w:rFonts w:hint="eastAsia" w:eastAsia="楷体_GB2312"/>
          <w:sz w:val="32"/>
          <w:szCs w:val="32"/>
        </w:rPr>
      </w:pPr>
      <w:r>
        <w:rPr>
          <w:rFonts w:eastAsia="楷体_GB2312"/>
          <w:b/>
          <w:sz w:val="32"/>
          <w:szCs w:val="32"/>
        </w:rPr>
        <w:t>（二）核查</w:t>
      </w:r>
      <w:r>
        <w:rPr>
          <w:rFonts w:hint="eastAsia" w:eastAsia="楷体_GB2312"/>
          <w:sz w:val="32"/>
          <w:szCs w:val="32"/>
        </w:rPr>
        <w:t>。</w:t>
      </w:r>
    </w:p>
    <w:p>
      <w:pPr>
        <w:snapToGrid w:val="0"/>
        <w:spacing w:line="580" w:lineRule="exact"/>
        <w:ind w:firstLine="640" w:firstLineChars="200"/>
        <w:rPr>
          <w:rFonts w:eastAsia="仿宋_GB2312"/>
          <w:sz w:val="32"/>
          <w:szCs w:val="32"/>
        </w:rPr>
      </w:pPr>
      <w:r>
        <w:rPr>
          <w:rFonts w:eastAsia="仿宋_GB2312"/>
          <w:sz w:val="32"/>
          <w:szCs w:val="32"/>
        </w:rPr>
        <w:t>考核工作组对上报的自查报告和相关技术资料进行真实性、准确性和合理性检验及核算分析。</w:t>
      </w:r>
    </w:p>
    <w:p>
      <w:pPr>
        <w:snapToGrid w:val="0"/>
        <w:spacing w:line="580" w:lineRule="exact"/>
        <w:ind w:firstLine="640" w:firstLineChars="200"/>
        <w:rPr>
          <w:rFonts w:eastAsia="仿宋_GB2312"/>
          <w:sz w:val="32"/>
          <w:szCs w:val="32"/>
        </w:rPr>
      </w:pPr>
      <w:r>
        <w:rPr>
          <w:rFonts w:eastAsia="仿宋_GB2312"/>
          <w:sz w:val="32"/>
          <w:szCs w:val="32"/>
        </w:rPr>
        <w:t>依据考核技术方案，对年度目标完成情况进行技术复核；结合年度工作重点，对制度建设和措施落实情况进行资料核查。</w:t>
      </w:r>
    </w:p>
    <w:p>
      <w:pPr>
        <w:snapToGrid w:val="0"/>
        <w:spacing w:line="580" w:lineRule="exact"/>
        <w:ind w:firstLine="643" w:firstLineChars="200"/>
        <w:outlineLvl w:val="0"/>
        <w:rPr>
          <w:rFonts w:hint="eastAsia" w:eastAsia="楷体_GB2312"/>
          <w:sz w:val="32"/>
          <w:szCs w:val="32"/>
        </w:rPr>
      </w:pPr>
      <w:r>
        <w:rPr>
          <w:rFonts w:eastAsia="楷体_GB2312"/>
          <w:b/>
          <w:sz w:val="32"/>
          <w:szCs w:val="32"/>
        </w:rPr>
        <w:t>（三）现场检查</w:t>
      </w:r>
      <w:r>
        <w:rPr>
          <w:rFonts w:hint="eastAsia" w:eastAsia="楷体_GB2312"/>
          <w:sz w:val="32"/>
          <w:szCs w:val="32"/>
        </w:rPr>
        <w:t>。</w:t>
      </w:r>
    </w:p>
    <w:p>
      <w:pPr>
        <w:snapToGrid w:val="0"/>
        <w:spacing w:line="580" w:lineRule="exact"/>
        <w:ind w:firstLine="640" w:firstLineChars="200"/>
        <w:rPr>
          <w:rFonts w:eastAsia="仿宋_GB2312"/>
          <w:sz w:val="32"/>
          <w:szCs w:val="32"/>
        </w:rPr>
      </w:pPr>
      <w:r>
        <w:rPr>
          <w:rFonts w:hint="eastAsia" w:eastAsia="仿宋_GB2312"/>
          <w:sz w:val="32"/>
          <w:szCs w:val="32"/>
        </w:rPr>
        <w:t>2016年</w:t>
      </w:r>
      <w:r>
        <w:rPr>
          <w:rFonts w:eastAsia="仿宋_GB2312"/>
          <w:sz w:val="32"/>
          <w:szCs w:val="32"/>
        </w:rPr>
        <w:t>2月下旬，考核工作组对各</w:t>
      </w:r>
      <w:r>
        <w:rPr>
          <w:rFonts w:hint="eastAsia" w:eastAsia="仿宋_GB2312"/>
          <w:sz w:val="32"/>
          <w:szCs w:val="32"/>
        </w:rPr>
        <w:t>地级</w:t>
      </w:r>
      <w:r>
        <w:rPr>
          <w:rFonts w:eastAsia="仿宋_GB2312"/>
          <w:sz w:val="32"/>
          <w:szCs w:val="32"/>
        </w:rPr>
        <w:t>市（含</w:t>
      </w:r>
      <w:r>
        <w:rPr>
          <w:rFonts w:hint="eastAsia" w:eastAsia="仿宋_GB2312"/>
          <w:sz w:val="32"/>
          <w:szCs w:val="32"/>
        </w:rPr>
        <w:t>宁夏</w:t>
      </w:r>
      <w:r>
        <w:rPr>
          <w:rFonts w:eastAsia="仿宋_GB2312"/>
          <w:sz w:val="32"/>
          <w:szCs w:val="32"/>
        </w:rPr>
        <w:t>农垦集团</w:t>
      </w:r>
      <w:r>
        <w:rPr>
          <w:rFonts w:hint="eastAsia" w:eastAsia="仿宋_GB2312"/>
          <w:sz w:val="32"/>
          <w:szCs w:val="32"/>
        </w:rPr>
        <w:t>公司</w:t>
      </w:r>
      <w:r>
        <w:rPr>
          <w:rFonts w:eastAsia="仿宋_GB2312"/>
          <w:sz w:val="32"/>
          <w:szCs w:val="32"/>
        </w:rPr>
        <w:t>，下同）及相关县（市</w:t>
      </w:r>
      <w:r>
        <w:rPr>
          <w:rFonts w:hint="eastAsia" w:eastAsia="仿宋_GB2312"/>
          <w:sz w:val="32"/>
          <w:szCs w:val="32"/>
        </w:rPr>
        <w:t>、</w:t>
      </w:r>
      <w:r>
        <w:rPr>
          <w:rFonts w:eastAsia="仿宋_GB2312"/>
          <w:sz w:val="32"/>
          <w:szCs w:val="32"/>
        </w:rPr>
        <w:t>区）开展现场检查，对自查报告和相关技术资料进行现场核对。具体步骤包括：</w:t>
      </w:r>
    </w:p>
    <w:p>
      <w:pPr>
        <w:snapToGrid w:val="0"/>
        <w:spacing w:line="580" w:lineRule="exact"/>
        <w:ind w:firstLine="640" w:firstLineChars="200"/>
        <w:rPr>
          <w:rFonts w:eastAsia="仿宋_GB2312"/>
          <w:sz w:val="32"/>
          <w:szCs w:val="32"/>
        </w:rPr>
      </w:pPr>
      <w:r>
        <w:rPr>
          <w:rFonts w:eastAsia="仿宋_GB2312"/>
          <w:sz w:val="32"/>
          <w:szCs w:val="32"/>
        </w:rPr>
        <w:t>1.听取汇报</w:t>
      </w:r>
      <w:r>
        <w:rPr>
          <w:rFonts w:hint="eastAsia" w:eastAsia="仿宋_GB2312"/>
          <w:sz w:val="32"/>
          <w:szCs w:val="32"/>
        </w:rPr>
        <w:t>。</w:t>
      </w:r>
      <w:r>
        <w:rPr>
          <w:rFonts w:eastAsia="仿宋_GB2312"/>
          <w:sz w:val="32"/>
          <w:szCs w:val="32"/>
        </w:rPr>
        <w:t>听取</w:t>
      </w:r>
      <w:r>
        <w:rPr>
          <w:rFonts w:hint="eastAsia" w:eastAsia="仿宋_GB2312"/>
          <w:sz w:val="32"/>
          <w:szCs w:val="32"/>
        </w:rPr>
        <w:t>各地级</w:t>
      </w:r>
      <w:r>
        <w:rPr>
          <w:rFonts w:eastAsia="仿宋_GB2312"/>
          <w:sz w:val="32"/>
          <w:szCs w:val="32"/>
        </w:rPr>
        <w:t>市人民政府及抽查的县级人民政府汇报，内容包括2015年度目标完成情况、制度建设和措施落实情况、2014年度考核存在问题整改落实情况、2015年取得的成效、存在问题及原因、整改措施及有关建议等。</w:t>
      </w:r>
    </w:p>
    <w:p>
      <w:pPr>
        <w:snapToGrid w:val="0"/>
        <w:spacing w:line="580" w:lineRule="exact"/>
        <w:ind w:firstLine="640" w:firstLineChars="200"/>
        <w:rPr>
          <w:rFonts w:eastAsia="仿宋_GB2312"/>
          <w:sz w:val="32"/>
          <w:szCs w:val="32"/>
        </w:rPr>
      </w:pPr>
      <w:r>
        <w:rPr>
          <w:rFonts w:eastAsia="仿宋_GB2312"/>
          <w:sz w:val="32"/>
          <w:szCs w:val="32"/>
        </w:rPr>
        <w:t>2.查阅相关资料</w:t>
      </w:r>
      <w:r>
        <w:rPr>
          <w:rFonts w:hint="eastAsia" w:eastAsia="仿宋_GB2312"/>
          <w:sz w:val="32"/>
          <w:szCs w:val="32"/>
        </w:rPr>
        <w:t>。</w:t>
      </w:r>
      <w:r>
        <w:rPr>
          <w:rFonts w:eastAsia="仿宋_GB2312"/>
          <w:sz w:val="32"/>
          <w:szCs w:val="32"/>
        </w:rPr>
        <w:t>重点查阅目标完成情况、制度建设和措施落实情况相关资料，核查自查报告及相关技术资料的真实性和准确性。</w:t>
      </w:r>
    </w:p>
    <w:p>
      <w:pPr>
        <w:snapToGrid w:val="0"/>
        <w:spacing w:line="580" w:lineRule="exact"/>
        <w:ind w:firstLine="640" w:firstLineChars="200"/>
        <w:rPr>
          <w:rFonts w:eastAsia="仿宋_GB2312"/>
          <w:sz w:val="32"/>
          <w:szCs w:val="32"/>
        </w:rPr>
      </w:pPr>
      <w:r>
        <w:rPr>
          <w:rFonts w:eastAsia="仿宋_GB2312"/>
          <w:sz w:val="32"/>
          <w:szCs w:val="32"/>
        </w:rPr>
        <w:t>3.现场检查</w:t>
      </w:r>
      <w:r>
        <w:rPr>
          <w:rFonts w:hint="eastAsia" w:eastAsia="仿宋_GB2312"/>
          <w:sz w:val="32"/>
          <w:szCs w:val="32"/>
        </w:rPr>
        <w:t>。</w:t>
      </w:r>
      <w:r>
        <w:rPr>
          <w:rFonts w:eastAsia="仿宋_GB2312"/>
          <w:sz w:val="32"/>
          <w:szCs w:val="32"/>
        </w:rPr>
        <w:t>结合听取汇报、查阅资料等情况，由考核组</w:t>
      </w:r>
      <w:r>
        <w:rPr>
          <w:rFonts w:hint="eastAsia" w:eastAsia="仿宋_GB2312"/>
          <w:sz w:val="32"/>
          <w:szCs w:val="32"/>
        </w:rPr>
        <w:t>在</w:t>
      </w:r>
      <w:r>
        <w:rPr>
          <w:rFonts w:eastAsia="仿宋_GB2312"/>
          <w:sz w:val="32"/>
          <w:szCs w:val="32"/>
        </w:rPr>
        <w:t>每</w:t>
      </w:r>
      <w:r>
        <w:rPr>
          <w:rFonts w:hint="eastAsia" w:eastAsia="仿宋_GB2312"/>
          <w:sz w:val="32"/>
          <w:szCs w:val="32"/>
        </w:rPr>
        <w:t>个地级</w:t>
      </w:r>
      <w:r>
        <w:rPr>
          <w:rFonts w:eastAsia="仿宋_GB2312"/>
          <w:sz w:val="32"/>
          <w:szCs w:val="32"/>
        </w:rPr>
        <w:t>市选择一个县（市</w:t>
      </w:r>
      <w:r>
        <w:rPr>
          <w:rFonts w:hint="eastAsia" w:eastAsia="仿宋_GB2312"/>
          <w:sz w:val="32"/>
          <w:szCs w:val="32"/>
        </w:rPr>
        <w:t>、</w:t>
      </w:r>
      <w:r>
        <w:rPr>
          <w:rFonts w:eastAsia="仿宋_GB2312"/>
          <w:sz w:val="32"/>
          <w:szCs w:val="32"/>
        </w:rPr>
        <w:t>区），从中选取1</w:t>
      </w:r>
      <w:r>
        <w:rPr>
          <w:rFonts w:hint="eastAsia" w:eastAsia="仿宋_GB2312"/>
          <w:sz w:val="32"/>
          <w:szCs w:val="32"/>
        </w:rPr>
        <w:t>个—</w:t>
      </w:r>
      <w:r>
        <w:rPr>
          <w:rFonts w:eastAsia="仿宋_GB2312"/>
          <w:sz w:val="32"/>
          <w:szCs w:val="32"/>
        </w:rPr>
        <w:t>2个重点用水户、1个节水型载体（企业、机关或学校等）创建单位、1个污水处理厂和1个饮用水水源地进行实地抽查。重点检查重点用水户取用水量和用水效率情况，以及当地水功能区监督管理相关工作等。现场检查结果在目标完成情况、制度建设和措施落实情况评分表中体现。</w:t>
      </w:r>
    </w:p>
    <w:p>
      <w:pPr>
        <w:snapToGrid w:val="0"/>
        <w:spacing w:line="580" w:lineRule="exact"/>
        <w:ind w:firstLine="640" w:firstLineChars="200"/>
        <w:rPr>
          <w:rFonts w:eastAsia="仿宋_GB2312"/>
          <w:sz w:val="32"/>
          <w:szCs w:val="32"/>
        </w:rPr>
      </w:pPr>
      <w:r>
        <w:rPr>
          <w:rFonts w:eastAsia="仿宋_GB2312"/>
          <w:sz w:val="32"/>
          <w:szCs w:val="32"/>
        </w:rPr>
        <w:t>4.反馈情况</w:t>
      </w:r>
      <w:r>
        <w:rPr>
          <w:rFonts w:hint="eastAsia" w:eastAsia="仿宋_GB2312"/>
          <w:sz w:val="32"/>
          <w:szCs w:val="32"/>
        </w:rPr>
        <w:t>。</w:t>
      </w:r>
      <w:r>
        <w:rPr>
          <w:rFonts w:eastAsia="仿宋_GB2312"/>
          <w:sz w:val="32"/>
          <w:szCs w:val="32"/>
        </w:rPr>
        <w:t>考核组反馈现场检查情况，主要包括对该行政区实行最严格水资源管理制度工作的初步评价、存在的问题和不足、改进工作的意见与建议等。</w:t>
      </w:r>
    </w:p>
    <w:p>
      <w:pPr>
        <w:snapToGrid w:val="0"/>
        <w:spacing w:line="580" w:lineRule="exact"/>
        <w:ind w:firstLine="640" w:firstLineChars="200"/>
        <w:rPr>
          <w:rFonts w:hint="eastAsia" w:eastAsia="黑体"/>
          <w:sz w:val="32"/>
          <w:szCs w:val="32"/>
        </w:rPr>
      </w:pPr>
      <w:r>
        <w:rPr>
          <w:rFonts w:eastAsia="黑体"/>
          <w:sz w:val="32"/>
          <w:szCs w:val="32"/>
        </w:rPr>
        <w:t>三、形成考核报告</w:t>
      </w:r>
    </w:p>
    <w:p>
      <w:pPr>
        <w:snapToGrid w:val="0"/>
        <w:spacing w:line="580" w:lineRule="exact"/>
        <w:ind w:firstLine="640" w:firstLineChars="200"/>
        <w:rPr>
          <w:rFonts w:hint="eastAsia" w:eastAsia="仿宋_GB2312"/>
          <w:sz w:val="32"/>
          <w:szCs w:val="32"/>
        </w:rPr>
      </w:pPr>
      <w:r>
        <w:rPr>
          <w:rFonts w:eastAsia="仿宋_GB2312"/>
          <w:sz w:val="32"/>
          <w:szCs w:val="32"/>
        </w:rPr>
        <w:t>考核组综合自查、核查和现场检查情况，形成《2015年度实行最严格水资源管理制度和节水型社会建设考核报告》，对各地实行最严格水资源管理制度目标完成情况、制度建设和措施落实情况做出综合评价，对存在的突出问题及原因进行综合分析，并提出整改建议。考核报告</w:t>
      </w:r>
      <w:r>
        <w:rPr>
          <w:rFonts w:hint="eastAsia" w:eastAsia="仿宋_GB2312"/>
          <w:sz w:val="32"/>
          <w:szCs w:val="32"/>
        </w:rPr>
        <w:t>经</w:t>
      </w:r>
      <w:r>
        <w:rPr>
          <w:rFonts w:eastAsia="仿宋_GB2312"/>
          <w:sz w:val="32"/>
          <w:szCs w:val="32"/>
        </w:rPr>
        <w:t>自治区人民政府审定后</w:t>
      </w:r>
      <w:r>
        <w:rPr>
          <w:rFonts w:hint="eastAsia" w:eastAsia="仿宋_GB2312"/>
          <w:sz w:val="32"/>
          <w:szCs w:val="32"/>
        </w:rPr>
        <w:t>，</w:t>
      </w:r>
      <w:r>
        <w:rPr>
          <w:rFonts w:eastAsia="仿宋_GB2312"/>
          <w:sz w:val="32"/>
          <w:szCs w:val="32"/>
        </w:rPr>
        <w:t>通报各市、县（区）</w:t>
      </w:r>
      <w:r>
        <w:rPr>
          <w:rFonts w:hint="eastAsia" w:eastAsia="仿宋_GB2312"/>
          <w:sz w:val="32"/>
          <w:szCs w:val="32"/>
        </w:rPr>
        <w:t>人民</w:t>
      </w:r>
      <w:r>
        <w:rPr>
          <w:rFonts w:eastAsia="仿宋_GB2312"/>
          <w:sz w:val="32"/>
          <w:szCs w:val="32"/>
        </w:rPr>
        <w:t>政府及自治区</w:t>
      </w:r>
      <w:r>
        <w:rPr>
          <w:rFonts w:hint="eastAsia" w:eastAsia="仿宋_GB2312"/>
          <w:sz w:val="32"/>
          <w:szCs w:val="32"/>
        </w:rPr>
        <w:t>有</w:t>
      </w:r>
      <w:r>
        <w:rPr>
          <w:rFonts w:eastAsia="仿宋_GB2312"/>
          <w:sz w:val="32"/>
          <w:szCs w:val="32"/>
        </w:rPr>
        <w:t>关部门。</w:t>
      </w:r>
    </w:p>
    <w:p>
      <w:pPr>
        <w:snapToGrid w:val="0"/>
        <w:spacing w:line="580" w:lineRule="exact"/>
        <w:rPr>
          <w:rFonts w:hint="eastAsia" w:ascii="黑体" w:eastAsia="黑体"/>
          <w:sz w:val="32"/>
          <w:szCs w:val="32"/>
        </w:rPr>
      </w:pPr>
      <w:r>
        <w:rPr>
          <w:rFonts w:eastAsia="仿宋_GB2312"/>
          <w:sz w:val="32"/>
          <w:szCs w:val="32"/>
        </w:rPr>
        <w:br w:type="page"/>
      </w:r>
      <w:r>
        <w:rPr>
          <w:rFonts w:hint="eastAsia" w:ascii="黑体" w:eastAsia="黑体"/>
          <w:sz w:val="32"/>
          <w:szCs w:val="32"/>
        </w:rPr>
        <w:t>附件2</w:t>
      </w:r>
    </w:p>
    <w:p>
      <w:pPr>
        <w:snapToGrid w:val="0"/>
        <w:spacing w:line="580" w:lineRule="exact"/>
        <w:ind w:firstLine="640" w:firstLineChars="200"/>
        <w:rPr>
          <w:rFonts w:eastAsia="仿宋_GB2312"/>
          <w:sz w:val="32"/>
          <w:szCs w:val="32"/>
        </w:rPr>
      </w:pPr>
    </w:p>
    <w:p>
      <w:pPr>
        <w:snapToGrid w:val="0"/>
        <w:spacing w:line="580" w:lineRule="exact"/>
        <w:jc w:val="center"/>
        <w:rPr>
          <w:rFonts w:eastAsia="方正小标宋简体"/>
          <w:sz w:val="36"/>
          <w:szCs w:val="36"/>
        </w:rPr>
      </w:pPr>
      <w:r>
        <w:rPr>
          <w:rFonts w:eastAsia="方正小标宋简体"/>
          <w:sz w:val="36"/>
          <w:szCs w:val="36"/>
        </w:rPr>
        <w:t>《2015年度××市实行最严格水资源管理制度</w:t>
      </w:r>
    </w:p>
    <w:p>
      <w:pPr>
        <w:snapToGrid w:val="0"/>
        <w:spacing w:line="580" w:lineRule="exact"/>
        <w:jc w:val="center"/>
        <w:rPr>
          <w:rFonts w:eastAsia="方正小标宋简体"/>
          <w:sz w:val="36"/>
          <w:szCs w:val="36"/>
        </w:rPr>
      </w:pPr>
      <w:r>
        <w:rPr>
          <w:rFonts w:eastAsia="方正小标宋简体"/>
          <w:sz w:val="36"/>
          <w:szCs w:val="36"/>
        </w:rPr>
        <w:t>和节水型社会建设考核工作自查报告》提纲</w:t>
      </w:r>
    </w:p>
    <w:p>
      <w:pPr>
        <w:snapToGrid w:val="0"/>
        <w:spacing w:line="580" w:lineRule="exact"/>
        <w:ind w:firstLine="640" w:firstLineChars="200"/>
        <w:rPr>
          <w:rFonts w:eastAsia="仿宋_GB2312"/>
          <w:sz w:val="32"/>
          <w:szCs w:val="32"/>
        </w:rPr>
      </w:pPr>
    </w:p>
    <w:p>
      <w:pPr>
        <w:snapToGrid w:val="0"/>
        <w:spacing w:line="580" w:lineRule="exact"/>
        <w:ind w:firstLine="640" w:firstLineChars="200"/>
        <w:rPr>
          <w:rFonts w:eastAsia="黑体"/>
          <w:sz w:val="32"/>
          <w:szCs w:val="32"/>
        </w:rPr>
      </w:pPr>
      <w:r>
        <w:rPr>
          <w:rFonts w:eastAsia="黑体"/>
          <w:sz w:val="32"/>
          <w:szCs w:val="32"/>
        </w:rPr>
        <w:t>一、概述</w:t>
      </w:r>
    </w:p>
    <w:p>
      <w:pPr>
        <w:snapToGrid w:val="0"/>
        <w:spacing w:line="580" w:lineRule="exact"/>
        <w:ind w:firstLine="640" w:firstLineChars="200"/>
        <w:rPr>
          <w:rFonts w:eastAsia="仿宋_GB2312"/>
          <w:sz w:val="32"/>
          <w:szCs w:val="32"/>
        </w:rPr>
      </w:pPr>
      <w:r>
        <w:rPr>
          <w:rFonts w:eastAsia="仿宋_GB2312"/>
          <w:sz w:val="32"/>
          <w:szCs w:val="32"/>
        </w:rPr>
        <w:t>概要说明本行政区</w:t>
      </w:r>
      <w:r>
        <w:rPr>
          <w:rFonts w:hint="eastAsia" w:eastAsia="仿宋_GB2312"/>
          <w:sz w:val="32"/>
          <w:szCs w:val="32"/>
        </w:rPr>
        <w:t>域</w:t>
      </w:r>
      <w:r>
        <w:rPr>
          <w:rFonts w:eastAsia="仿宋_GB2312"/>
          <w:sz w:val="32"/>
          <w:szCs w:val="32"/>
        </w:rPr>
        <w:t>的基本情况、2014年度考核工作中主要问题的整改落实情况、2015年度水情和该年度实行最严格水资源管理制度和节水型社会建设的基本情况。</w:t>
      </w:r>
    </w:p>
    <w:p>
      <w:pPr>
        <w:snapToGrid w:val="0"/>
        <w:spacing w:line="580" w:lineRule="exact"/>
        <w:ind w:firstLine="640" w:firstLineChars="200"/>
        <w:rPr>
          <w:rFonts w:eastAsia="黑体"/>
          <w:sz w:val="32"/>
          <w:szCs w:val="32"/>
        </w:rPr>
      </w:pPr>
      <w:r>
        <w:rPr>
          <w:rFonts w:eastAsia="黑体"/>
          <w:sz w:val="32"/>
          <w:szCs w:val="32"/>
        </w:rPr>
        <w:t>二、目标完成情况</w:t>
      </w:r>
    </w:p>
    <w:p>
      <w:pPr>
        <w:snapToGrid w:val="0"/>
        <w:spacing w:line="580" w:lineRule="exact"/>
        <w:ind w:firstLine="640" w:firstLineChars="200"/>
        <w:rPr>
          <w:rFonts w:eastAsia="仿宋_GB2312"/>
          <w:sz w:val="32"/>
          <w:szCs w:val="32"/>
        </w:rPr>
      </w:pPr>
      <w:r>
        <w:rPr>
          <w:rFonts w:eastAsia="仿宋_GB2312"/>
          <w:sz w:val="32"/>
          <w:szCs w:val="32"/>
        </w:rPr>
        <w:t>概要说明本行政区</w:t>
      </w:r>
      <w:r>
        <w:rPr>
          <w:rFonts w:hint="eastAsia" w:eastAsia="仿宋_GB2312"/>
          <w:sz w:val="32"/>
          <w:szCs w:val="32"/>
        </w:rPr>
        <w:t>域</w:t>
      </w:r>
      <w:r>
        <w:rPr>
          <w:rFonts w:eastAsia="仿宋_GB2312"/>
          <w:sz w:val="32"/>
          <w:szCs w:val="32"/>
        </w:rPr>
        <w:t>用水总量控制目标、万元工业增加值用水量控制目标、农田灌溉水有效利用系数控制目标、重要江河湖泊水功能区水质达标率控制目标的完成情况，并进行自评分。计算标准详见《实施方案》。万元工业增加值用水量降幅保留小数点后1位，农田灌溉水有效利用系数保留小数点后3位，自评分保留小数点后1位。</w:t>
      </w:r>
    </w:p>
    <w:p>
      <w:pPr>
        <w:snapToGrid w:val="0"/>
        <w:spacing w:line="580" w:lineRule="exact"/>
        <w:ind w:firstLine="640" w:firstLineChars="200"/>
        <w:rPr>
          <w:rFonts w:eastAsia="黑体"/>
          <w:sz w:val="32"/>
          <w:szCs w:val="32"/>
        </w:rPr>
      </w:pPr>
      <w:r>
        <w:rPr>
          <w:rFonts w:eastAsia="黑体"/>
          <w:sz w:val="32"/>
          <w:szCs w:val="32"/>
        </w:rPr>
        <w:t>三、制度建设和措施落实情况</w:t>
      </w:r>
    </w:p>
    <w:p>
      <w:pPr>
        <w:snapToGrid w:val="0"/>
        <w:spacing w:line="580" w:lineRule="exact"/>
        <w:ind w:firstLine="640" w:firstLineChars="200"/>
        <w:rPr>
          <w:rFonts w:eastAsia="仿宋_GB2312"/>
          <w:sz w:val="32"/>
          <w:szCs w:val="32"/>
        </w:rPr>
      </w:pPr>
      <w:r>
        <w:rPr>
          <w:rFonts w:eastAsia="仿宋_GB2312"/>
          <w:sz w:val="32"/>
          <w:szCs w:val="32"/>
        </w:rPr>
        <w:t>概要说明2015年度本行政区</w:t>
      </w:r>
      <w:r>
        <w:rPr>
          <w:rFonts w:hint="eastAsia" w:eastAsia="仿宋_GB2312"/>
          <w:sz w:val="32"/>
          <w:szCs w:val="32"/>
        </w:rPr>
        <w:t>域</w:t>
      </w:r>
      <w:r>
        <w:rPr>
          <w:rFonts w:eastAsia="仿宋_GB2312"/>
          <w:sz w:val="32"/>
          <w:szCs w:val="32"/>
        </w:rPr>
        <w:t>最严格水资源管理制度建设和措施落实情况，并进行自评分。依据附件</w:t>
      </w:r>
      <w:r>
        <w:rPr>
          <w:rFonts w:hint="eastAsia" w:eastAsia="仿宋_GB2312"/>
          <w:sz w:val="32"/>
          <w:szCs w:val="32"/>
        </w:rPr>
        <w:t>4</w:t>
      </w:r>
      <w:r>
        <w:rPr>
          <w:rFonts w:eastAsia="仿宋_GB2312"/>
          <w:sz w:val="32"/>
          <w:szCs w:val="32"/>
        </w:rPr>
        <w:t>主要内容和评分标准，逐条列出具体评分内容，并给出赋分分值，对照本行政区</w:t>
      </w:r>
      <w:r>
        <w:rPr>
          <w:rFonts w:hint="eastAsia" w:eastAsia="仿宋_GB2312"/>
          <w:sz w:val="32"/>
          <w:szCs w:val="32"/>
        </w:rPr>
        <w:t>域</w:t>
      </w:r>
      <w:r>
        <w:rPr>
          <w:rFonts w:eastAsia="仿宋_GB2312"/>
          <w:sz w:val="32"/>
          <w:szCs w:val="32"/>
        </w:rPr>
        <w:t>2015年度已完成的主要工作，说明赋分理由。</w:t>
      </w:r>
    </w:p>
    <w:p>
      <w:pPr>
        <w:snapToGrid w:val="0"/>
        <w:spacing w:line="580" w:lineRule="exact"/>
        <w:ind w:firstLine="640" w:firstLineChars="200"/>
        <w:rPr>
          <w:rFonts w:eastAsia="黑体"/>
          <w:sz w:val="32"/>
          <w:szCs w:val="32"/>
        </w:rPr>
      </w:pPr>
      <w:r>
        <w:rPr>
          <w:rFonts w:eastAsia="黑体"/>
          <w:sz w:val="32"/>
          <w:szCs w:val="32"/>
        </w:rPr>
        <w:t>四、成效及经验</w:t>
      </w:r>
    </w:p>
    <w:p>
      <w:pPr>
        <w:snapToGrid w:val="0"/>
        <w:spacing w:line="580" w:lineRule="exact"/>
        <w:ind w:firstLine="640" w:firstLineChars="200"/>
        <w:rPr>
          <w:rFonts w:eastAsia="仿宋_GB2312"/>
          <w:sz w:val="32"/>
          <w:szCs w:val="32"/>
        </w:rPr>
      </w:pPr>
      <w:r>
        <w:rPr>
          <w:rFonts w:eastAsia="仿宋_GB2312"/>
          <w:sz w:val="32"/>
          <w:szCs w:val="32"/>
        </w:rPr>
        <w:t>总结2015年度本行政区</w:t>
      </w:r>
      <w:r>
        <w:rPr>
          <w:rFonts w:hint="eastAsia" w:eastAsia="仿宋_GB2312"/>
          <w:sz w:val="32"/>
          <w:szCs w:val="32"/>
        </w:rPr>
        <w:t>域</w:t>
      </w:r>
      <w:r>
        <w:rPr>
          <w:rFonts w:eastAsia="仿宋_GB2312"/>
          <w:sz w:val="32"/>
          <w:szCs w:val="32"/>
        </w:rPr>
        <w:t>实行最严格水资源管理制度的成效及经验。</w:t>
      </w:r>
    </w:p>
    <w:p>
      <w:pPr>
        <w:snapToGrid w:val="0"/>
        <w:spacing w:line="580" w:lineRule="exact"/>
        <w:ind w:firstLine="640" w:firstLineChars="200"/>
        <w:rPr>
          <w:rFonts w:eastAsia="黑体"/>
          <w:sz w:val="32"/>
          <w:szCs w:val="32"/>
        </w:rPr>
      </w:pPr>
      <w:r>
        <w:rPr>
          <w:rFonts w:eastAsia="黑体"/>
          <w:sz w:val="32"/>
          <w:szCs w:val="32"/>
        </w:rPr>
        <w:t>五、存在问题及整改措施</w:t>
      </w:r>
    </w:p>
    <w:p>
      <w:pPr>
        <w:snapToGrid w:val="0"/>
        <w:spacing w:line="580" w:lineRule="exact"/>
        <w:ind w:firstLine="640" w:firstLineChars="200"/>
        <w:rPr>
          <w:rFonts w:eastAsia="仿宋_GB2312"/>
          <w:sz w:val="32"/>
          <w:szCs w:val="32"/>
        </w:rPr>
      </w:pPr>
      <w:r>
        <w:rPr>
          <w:rFonts w:eastAsia="仿宋_GB2312"/>
          <w:sz w:val="32"/>
          <w:szCs w:val="32"/>
        </w:rPr>
        <w:t>分析2015年度本行政区</w:t>
      </w:r>
      <w:r>
        <w:rPr>
          <w:rFonts w:hint="eastAsia" w:eastAsia="仿宋_GB2312"/>
          <w:sz w:val="32"/>
          <w:szCs w:val="32"/>
        </w:rPr>
        <w:t>域</w:t>
      </w:r>
      <w:r>
        <w:rPr>
          <w:rFonts w:eastAsia="仿宋_GB2312"/>
          <w:sz w:val="32"/>
          <w:szCs w:val="32"/>
        </w:rPr>
        <w:t>实行最严格水资源管理制度工作中存在的不足和问题，并提出相应的整改措施。</w:t>
      </w:r>
    </w:p>
    <w:p>
      <w:pPr>
        <w:snapToGrid w:val="0"/>
        <w:spacing w:line="580" w:lineRule="exact"/>
        <w:ind w:firstLine="640" w:firstLineChars="200"/>
        <w:rPr>
          <w:rFonts w:eastAsia="黑体"/>
          <w:sz w:val="32"/>
          <w:szCs w:val="32"/>
        </w:rPr>
      </w:pPr>
      <w:r>
        <w:rPr>
          <w:rFonts w:eastAsia="黑体"/>
          <w:sz w:val="32"/>
          <w:szCs w:val="32"/>
        </w:rPr>
        <w:t>六、自评结果</w:t>
      </w:r>
    </w:p>
    <w:p>
      <w:pPr>
        <w:snapToGrid w:val="0"/>
        <w:spacing w:line="580" w:lineRule="exact"/>
        <w:ind w:firstLine="640" w:firstLineChars="200"/>
        <w:rPr>
          <w:rFonts w:eastAsia="仿宋_GB2312"/>
          <w:sz w:val="32"/>
          <w:szCs w:val="32"/>
        </w:rPr>
      </w:pPr>
      <w:r>
        <w:rPr>
          <w:rFonts w:eastAsia="仿宋_GB2312"/>
          <w:sz w:val="32"/>
          <w:szCs w:val="32"/>
        </w:rPr>
        <w:t>综合以上内容，根据《实施方案》相关规定和要求，形成2015年度本行政区</w:t>
      </w:r>
      <w:r>
        <w:rPr>
          <w:rFonts w:hint="eastAsia" w:eastAsia="仿宋_GB2312"/>
          <w:sz w:val="32"/>
          <w:szCs w:val="32"/>
        </w:rPr>
        <w:t>域</w:t>
      </w:r>
      <w:r>
        <w:rPr>
          <w:rFonts w:eastAsia="仿宋_GB2312"/>
          <w:sz w:val="32"/>
          <w:szCs w:val="32"/>
        </w:rPr>
        <w:t>实行最严格水资源管理制度的自评等级（优秀、良好、合格、不合格）。</w:t>
      </w:r>
    </w:p>
    <w:p>
      <w:pPr>
        <w:snapToGrid w:val="0"/>
        <w:spacing w:line="580" w:lineRule="exact"/>
        <w:ind w:firstLine="640" w:firstLineChars="200"/>
        <w:rPr>
          <w:rFonts w:eastAsia="仿宋_GB2312"/>
          <w:sz w:val="32"/>
          <w:szCs w:val="32"/>
        </w:rPr>
      </w:pPr>
    </w:p>
    <w:p>
      <w:pPr>
        <w:snapToGrid w:val="0"/>
        <w:spacing w:line="580" w:lineRule="exact"/>
        <w:ind w:firstLine="640" w:firstLineChars="200"/>
        <w:rPr>
          <w:rFonts w:eastAsia="仿宋_GB2312"/>
          <w:sz w:val="32"/>
          <w:szCs w:val="32"/>
        </w:rPr>
      </w:pPr>
    </w:p>
    <w:p>
      <w:pPr>
        <w:snapToGrid w:val="0"/>
        <w:spacing w:line="580" w:lineRule="exact"/>
        <w:rPr>
          <w:rFonts w:hint="eastAsia" w:ascii="黑体" w:eastAsia="黑体"/>
          <w:sz w:val="32"/>
          <w:szCs w:val="32"/>
        </w:rPr>
      </w:pPr>
      <w:r>
        <w:rPr>
          <w:rFonts w:eastAsia="仿宋_GB2312"/>
          <w:sz w:val="32"/>
          <w:szCs w:val="32"/>
        </w:rPr>
        <w:br w:type="page"/>
      </w:r>
      <w:r>
        <w:rPr>
          <w:rFonts w:hint="eastAsia" w:ascii="黑体" w:eastAsia="黑体"/>
          <w:sz w:val="32"/>
          <w:szCs w:val="32"/>
        </w:rPr>
        <w:t>附件3</w:t>
      </w:r>
    </w:p>
    <w:p>
      <w:pPr>
        <w:snapToGrid w:val="0"/>
        <w:spacing w:line="580" w:lineRule="exact"/>
        <w:ind w:firstLine="640" w:firstLineChars="200"/>
        <w:rPr>
          <w:rFonts w:eastAsia="仿宋_GB2312"/>
          <w:sz w:val="32"/>
          <w:szCs w:val="32"/>
        </w:rPr>
      </w:pPr>
    </w:p>
    <w:p>
      <w:pPr>
        <w:snapToGrid w:val="0"/>
        <w:spacing w:line="580" w:lineRule="exact"/>
        <w:jc w:val="center"/>
        <w:rPr>
          <w:rFonts w:eastAsia="方正小标宋简体"/>
          <w:sz w:val="36"/>
          <w:szCs w:val="36"/>
        </w:rPr>
      </w:pPr>
      <w:r>
        <w:rPr>
          <w:rFonts w:eastAsia="方正小标宋简体"/>
          <w:sz w:val="36"/>
          <w:szCs w:val="36"/>
        </w:rPr>
        <w:t>《2015年度××市实行最严格水资源管理制度和</w:t>
      </w:r>
    </w:p>
    <w:p>
      <w:pPr>
        <w:snapToGrid w:val="0"/>
        <w:spacing w:line="580" w:lineRule="exact"/>
        <w:jc w:val="center"/>
        <w:rPr>
          <w:rFonts w:eastAsia="方正小标宋简体"/>
          <w:sz w:val="36"/>
          <w:szCs w:val="36"/>
        </w:rPr>
      </w:pPr>
      <w:r>
        <w:rPr>
          <w:rFonts w:eastAsia="方正小标宋简体"/>
          <w:sz w:val="36"/>
          <w:szCs w:val="36"/>
        </w:rPr>
        <w:t>节水型社会建设考核工作自查报告》复核技术资料要求</w:t>
      </w:r>
    </w:p>
    <w:p>
      <w:pPr>
        <w:snapToGrid w:val="0"/>
        <w:spacing w:line="580" w:lineRule="exact"/>
        <w:ind w:firstLine="640" w:firstLineChars="200"/>
        <w:rPr>
          <w:rFonts w:eastAsia="仿宋_GB2312"/>
          <w:sz w:val="32"/>
          <w:szCs w:val="32"/>
        </w:rPr>
      </w:pPr>
      <w:r>
        <w:rPr>
          <w:rFonts w:eastAsia="仿宋_GB2312"/>
          <w:sz w:val="32"/>
          <w:szCs w:val="32"/>
        </w:rPr>
        <w:t xml:space="preserve">  </w:t>
      </w:r>
    </w:p>
    <w:p>
      <w:pPr>
        <w:snapToGrid w:val="0"/>
        <w:spacing w:line="580" w:lineRule="exact"/>
        <w:ind w:firstLine="640" w:firstLineChars="200"/>
        <w:outlineLvl w:val="0"/>
        <w:rPr>
          <w:rFonts w:eastAsia="黑体"/>
          <w:sz w:val="32"/>
          <w:szCs w:val="32"/>
        </w:rPr>
      </w:pPr>
      <w:r>
        <w:rPr>
          <w:rFonts w:eastAsia="黑体"/>
          <w:sz w:val="32"/>
          <w:szCs w:val="32"/>
        </w:rPr>
        <w:t>一、文字说明</w:t>
      </w:r>
    </w:p>
    <w:p>
      <w:pPr>
        <w:snapToGrid w:val="0"/>
        <w:spacing w:line="580" w:lineRule="exact"/>
        <w:ind w:firstLine="640" w:firstLineChars="200"/>
        <w:rPr>
          <w:rFonts w:eastAsia="仿宋_GB2312"/>
          <w:sz w:val="32"/>
          <w:szCs w:val="32"/>
        </w:rPr>
      </w:pPr>
      <w:r>
        <w:rPr>
          <w:rFonts w:hint="eastAsia" w:eastAsia="仿宋_GB2312"/>
          <w:sz w:val="32"/>
          <w:szCs w:val="32"/>
        </w:rPr>
        <w:t>（一）</w:t>
      </w:r>
      <w:r>
        <w:rPr>
          <w:rFonts w:eastAsia="仿宋_GB2312"/>
          <w:sz w:val="32"/>
          <w:szCs w:val="32"/>
        </w:rPr>
        <w:t>用水总量指标、万元工业增加值用水量指标、农田灌溉水有效利用系数指标和重要江河湖泊水功能区水质达标率指标的数据来源及提供单位、计算过程、相关情况说明等。</w:t>
      </w:r>
    </w:p>
    <w:p>
      <w:pPr>
        <w:snapToGrid w:val="0"/>
        <w:spacing w:line="580" w:lineRule="exact"/>
        <w:ind w:firstLine="640" w:firstLineChars="200"/>
        <w:rPr>
          <w:rFonts w:eastAsia="仿宋_GB2312"/>
          <w:sz w:val="32"/>
          <w:szCs w:val="32"/>
        </w:rPr>
      </w:pPr>
      <w:r>
        <w:rPr>
          <w:rFonts w:hint="eastAsia" w:eastAsia="仿宋_GB2312"/>
          <w:sz w:val="32"/>
          <w:szCs w:val="32"/>
        </w:rPr>
        <w:t>（二）</w:t>
      </w:r>
      <w:r>
        <w:rPr>
          <w:rFonts w:eastAsia="仿宋_GB2312"/>
          <w:sz w:val="32"/>
          <w:szCs w:val="32"/>
        </w:rPr>
        <w:t>制度建设和措施落实情况各项具体评分的工作进展和支撑文件材料说明，支撑文件材料目录作为复核技术资料附件同时报送。</w:t>
      </w:r>
    </w:p>
    <w:p>
      <w:pPr>
        <w:snapToGrid w:val="0"/>
        <w:spacing w:line="580" w:lineRule="exact"/>
        <w:ind w:firstLine="640" w:firstLineChars="200"/>
        <w:outlineLvl w:val="0"/>
        <w:rPr>
          <w:rFonts w:eastAsia="黑体"/>
          <w:sz w:val="32"/>
          <w:szCs w:val="32"/>
        </w:rPr>
      </w:pPr>
      <w:r>
        <w:rPr>
          <w:rFonts w:eastAsia="黑体"/>
          <w:sz w:val="32"/>
          <w:szCs w:val="32"/>
        </w:rPr>
        <w:t>二、报送要求</w:t>
      </w:r>
    </w:p>
    <w:p>
      <w:pPr>
        <w:snapToGrid w:val="0"/>
        <w:spacing w:line="580" w:lineRule="exact"/>
        <w:ind w:firstLine="640" w:firstLineChars="200"/>
        <w:rPr>
          <w:rFonts w:eastAsia="仿宋_GB2312"/>
          <w:sz w:val="32"/>
          <w:szCs w:val="32"/>
        </w:rPr>
      </w:pPr>
      <w:r>
        <w:rPr>
          <w:rFonts w:eastAsia="仿宋_GB2312"/>
          <w:sz w:val="32"/>
          <w:szCs w:val="32"/>
        </w:rPr>
        <w:t>各</w:t>
      </w:r>
      <w:r>
        <w:rPr>
          <w:rFonts w:hint="eastAsia" w:eastAsia="仿宋_GB2312"/>
          <w:sz w:val="32"/>
          <w:szCs w:val="32"/>
        </w:rPr>
        <w:t>地级</w:t>
      </w:r>
      <w:r>
        <w:rPr>
          <w:rFonts w:eastAsia="仿宋_GB2312"/>
          <w:sz w:val="32"/>
          <w:szCs w:val="32"/>
        </w:rPr>
        <w:t>市</w:t>
      </w:r>
      <w:r>
        <w:rPr>
          <w:rFonts w:hint="eastAsia" w:eastAsia="仿宋_GB2312"/>
          <w:sz w:val="32"/>
          <w:szCs w:val="32"/>
        </w:rPr>
        <w:t>和宁夏</w:t>
      </w:r>
      <w:r>
        <w:rPr>
          <w:rFonts w:eastAsia="仿宋_GB2312"/>
          <w:sz w:val="32"/>
          <w:szCs w:val="32"/>
        </w:rPr>
        <w:t>农垦集团</w:t>
      </w:r>
      <w:r>
        <w:rPr>
          <w:rFonts w:hint="eastAsia" w:eastAsia="仿宋_GB2312"/>
          <w:sz w:val="32"/>
          <w:szCs w:val="32"/>
        </w:rPr>
        <w:t>公司</w:t>
      </w:r>
      <w:r>
        <w:rPr>
          <w:rFonts w:eastAsia="仿宋_GB2312"/>
          <w:sz w:val="32"/>
          <w:szCs w:val="32"/>
        </w:rPr>
        <w:t>按照要求将复核技术资料送</w:t>
      </w:r>
      <w:r>
        <w:rPr>
          <w:rFonts w:hint="eastAsia" w:eastAsia="仿宋_GB2312"/>
          <w:sz w:val="32"/>
          <w:szCs w:val="32"/>
        </w:rPr>
        <w:t>自治区</w:t>
      </w:r>
      <w:r>
        <w:rPr>
          <w:rFonts w:eastAsia="仿宋_GB2312"/>
          <w:sz w:val="32"/>
          <w:szCs w:val="32"/>
        </w:rPr>
        <w:t>水利厅。</w:t>
      </w:r>
    </w:p>
    <w:p>
      <w:pPr>
        <w:spacing w:line="580" w:lineRule="exact"/>
        <w:rPr>
          <w:sz w:val="28"/>
          <w:szCs w:val="28"/>
        </w:rPr>
      </w:pPr>
    </w:p>
    <w:p>
      <w:pPr>
        <w:spacing w:line="580" w:lineRule="exact"/>
        <w:rPr>
          <w:sz w:val="28"/>
          <w:szCs w:val="28"/>
        </w:rPr>
      </w:pPr>
    </w:p>
    <w:p>
      <w:pPr>
        <w:spacing w:line="580" w:lineRule="exact"/>
        <w:ind w:left="940" w:hanging="939" w:hangingChars="522"/>
        <w:rPr>
          <w:color w:val="000000"/>
          <w:sz w:val="18"/>
          <w:szCs w:val="18"/>
        </w:rPr>
      </w:pPr>
    </w:p>
    <w:p>
      <w:pPr>
        <w:spacing w:line="580" w:lineRule="exact"/>
        <w:ind w:left="940" w:hanging="939" w:hangingChars="522"/>
        <w:rPr>
          <w:color w:val="000000"/>
          <w:sz w:val="18"/>
          <w:szCs w:val="18"/>
        </w:rPr>
      </w:pPr>
    </w:p>
    <w:p>
      <w:pPr>
        <w:spacing w:line="580" w:lineRule="exact"/>
        <w:rPr>
          <w:b/>
          <w:bCs/>
          <w:sz w:val="28"/>
          <w:szCs w:val="28"/>
        </w:rPr>
        <w:sectPr>
          <w:footerReference r:id="rId3" w:type="default"/>
          <w:footerReference r:id="rId4" w:type="even"/>
          <w:pgSz w:w="11906" w:h="16838"/>
          <w:pgMar w:top="1588" w:right="1588" w:bottom="1588" w:left="1588" w:header="851" w:footer="992" w:gutter="0"/>
          <w:pgNumType w:fmt="numberInDash" w:start="1"/>
          <w:cols w:space="720" w:num="1"/>
          <w:docGrid w:type="lines" w:linePitch="312" w:charSpace="0"/>
        </w:sectPr>
      </w:pPr>
    </w:p>
    <w:p>
      <w:pPr>
        <w:spacing w:line="580" w:lineRule="exact"/>
        <w:rPr>
          <w:rFonts w:hint="eastAsia" w:ascii="黑体" w:eastAsia="黑体"/>
          <w:b/>
          <w:bCs/>
          <w:sz w:val="28"/>
          <w:szCs w:val="28"/>
        </w:rPr>
      </w:pPr>
      <w:r>
        <w:rPr>
          <w:rFonts w:hint="eastAsia" w:ascii="黑体" w:eastAsia="黑体"/>
          <w:sz w:val="32"/>
          <w:szCs w:val="32"/>
        </w:rPr>
        <w:t xml:space="preserve">附件4  </w:t>
      </w:r>
      <w:r>
        <w:rPr>
          <w:rFonts w:hint="eastAsia" w:ascii="黑体" w:eastAsia="黑体"/>
          <w:b/>
          <w:bCs/>
          <w:sz w:val="28"/>
          <w:szCs w:val="28"/>
        </w:rPr>
        <w:t xml:space="preserve">                        </w:t>
      </w:r>
    </w:p>
    <w:p>
      <w:pPr>
        <w:spacing w:line="580" w:lineRule="exact"/>
        <w:jc w:val="center"/>
        <w:rPr>
          <w:b/>
          <w:bCs/>
          <w:sz w:val="28"/>
          <w:szCs w:val="28"/>
        </w:rPr>
      </w:pPr>
      <w:r>
        <w:rPr>
          <w:b/>
          <w:bCs/>
          <w:sz w:val="28"/>
          <w:szCs w:val="28"/>
        </w:rPr>
        <w:t>2015年度制度建设和措施落实情况评分表</w:t>
      </w:r>
    </w:p>
    <w:tbl>
      <w:tblPr>
        <w:tblStyle w:val="5"/>
        <w:tblW w:w="138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
        <w:gridCol w:w="423"/>
        <w:gridCol w:w="570"/>
        <w:gridCol w:w="426"/>
        <w:gridCol w:w="3583"/>
        <w:gridCol w:w="8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481" w:type="dxa"/>
            <w:tcMar>
              <w:left w:w="6" w:type="dxa"/>
              <w:right w:w="6" w:type="dxa"/>
            </w:tcMar>
            <w:vAlign w:val="center"/>
          </w:tcPr>
          <w:p>
            <w:pPr>
              <w:snapToGrid/>
              <w:spacing w:line="240" w:lineRule="auto"/>
              <w:jc w:val="center"/>
              <w:rPr>
                <w:sz w:val="18"/>
                <w:szCs w:val="18"/>
              </w:rPr>
            </w:pPr>
            <w:r>
              <w:rPr>
                <w:sz w:val="18"/>
                <w:szCs w:val="18"/>
              </w:rPr>
              <w:t>项目</w:t>
            </w:r>
          </w:p>
        </w:tc>
        <w:tc>
          <w:tcPr>
            <w:tcW w:w="423" w:type="dxa"/>
            <w:tcMar>
              <w:left w:w="6" w:type="dxa"/>
              <w:right w:w="6" w:type="dxa"/>
            </w:tcMar>
            <w:vAlign w:val="center"/>
          </w:tcPr>
          <w:p>
            <w:pPr>
              <w:snapToGrid/>
              <w:spacing w:line="240" w:lineRule="auto"/>
              <w:jc w:val="center"/>
              <w:rPr>
                <w:sz w:val="18"/>
                <w:szCs w:val="18"/>
              </w:rPr>
            </w:pPr>
            <w:r>
              <w:rPr>
                <w:sz w:val="18"/>
                <w:szCs w:val="18"/>
              </w:rPr>
              <w:t>序号</w:t>
            </w:r>
          </w:p>
        </w:tc>
        <w:tc>
          <w:tcPr>
            <w:tcW w:w="570" w:type="dxa"/>
            <w:tcMar>
              <w:left w:w="6" w:type="dxa"/>
              <w:right w:w="6" w:type="dxa"/>
            </w:tcMar>
            <w:vAlign w:val="center"/>
          </w:tcPr>
          <w:p>
            <w:pPr>
              <w:snapToGrid/>
              <w:spacing w:line="240" w:lineRule="auto"/>
              <w:jc w:val="center"/>
              <w:rPr>
                <w:sz w:val="18"/>
                <w:szCs w:val="18"/>
              </w:rPr>
            </w:pPr>
            <w:r>
              <w:rPr>
                <w:sz w:val="18"/>
                <w:szCs w:val="18"/>
              </w:rPr>
              <w:t>分项</w:t>
            </w:r>
          </w:p>
        </w:tc>
        <w:tc>
          <w:tcPr>
            <w:tcW w:w="426" w:type="dxa"/>
            <w:tcMar>
              <w:left w:w="6" w:type="dxa"/>
              <w:right w:w="6" w:type="dxa"/>
            </w:tcMar>
            <w:vAlign w:val="center"/>
          </w:tcPr>
          <w:p>
            <w:pPr>
              <w:snapToGrid/>
              <w:spacing w:line="240" w:lineRule="auto"/>
              <w:jc w:val="center"/>
              <w:rPr>
                <w:sz w:val="18"/>
                <w:szCs w:val="18"/>
              </w:rPr>
            </w:pPr>
            <w:r>
              <w:rPr>
                <w:sz w:val="18"/>
                <w:szCs w:val="18"/>
              </w:rPr>
              <w:t>分值</w:t>
            </w:r>
          </w:p>
        </w:tc>
        <w:tc>
          <w:tcPr>
            <w:tcW w:w="3583" w:type="dxa"/>
            <w:tcMar>
              <w:left w:w="6" w:type="dxa"/>
              <w:right w:w="6" w:type="dxa"/>
            </w:tcMar>
            <w:vAlign w:val="center"/>
          </w:tcPr>
          <w:p>
            <w:pPr>
              <w:snapToGrid/>
              <w:spacing w:line="240" w:lineRule="auto"/>
              <w:jc w:val="center"/>
              <w:rPr>
                <w:sz w:val="18"/>
                <w:szCs w:val="18"/>
              </w:rPr>
            </w:pPr>
            <w:r>
              <w:rPr>
                <w:sz w:val="18"/>
                <w:szCs w:val="18"/>
              </w:rPr>
              <w:t>主要内容</w:t>
            </w:r>
          </w:p>
        </w:tc>
        <w:tc>
          <w:tcPr>
            <w:tcW w:w="8345" w:type="dxa"/>
            <w:vAlign w:val="center"/>
          </w:tcPr>
          <w:p>
            <w:pPr>
              <w:snapToGrid/>
              <w:spacing w:line="240" w:lineRule="auto"/>
              <w:jc w:val="center"/>
              <w:rPr>
                <w:sz w:val="18"/>
                <w:szCs w:val="18"/>
              </w:rPr>
            </w:pPr>
            <w:r>
              <w:rPr>
                <w:sz w:val="18"/>
                <w:szCs w:val="18"/>
              </w:rPr>
              <w:t>2015评分标准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1" w:type="dxa"/>
            <w:vMerge w:val="restart"/>
            <w:tcMar>
              <w:left w:w="6" w:type="dxa"/>
              <w:right w:w="6" w:type="dxa"/>
            </w:tcMar>
            <w:vAlign w:val="center"/>
          </w:tcPr>
          <w:p>
            <w:pPr>
              <w:snapToGrid/>
              <w:spacing w:line="240" w:lineRule="auto"/>
              <w:jc w:val="both"/>
              <w:rPr>
                <w:sz w:val="18"/>
                <w:szCs w:val="18"/>
              </w:rPr>
            </w:pPr>
            <w:r>
              <w:rPr>
                <w:sz w:val="18"/>
                <w:szCs w:val="18"/>
              </w:rPr>
              <w:t>用</w:t>
            </w:r>
          </w:p>
          <w:p>
            <w:pPr>
              <w:spacing w:line="240" w:lineRule="auto"/>
              <w:jc w:val="both"/>
              <w:rPr>
                <w:rFonts w:hint="eastAsia"/>
                <w:sz w:val="18"/>
                <w:szCs w:val="18"/>
              </w:rPr>
            </w:pPr>
          </w:p>
          <w:p>
            <w:pPr>
              <w:spacing w:line="240" w:lineRule="auto"/>
              <w:jc w:val="both"/>
              <w:rPr>
                <w:sz w:val="18"/>
                <w:szCs w:val="18"/>
              </w:rPr>
            </w:pPr>
            <w:r>
              <w:rPr>
                <w:sz w:val="18"/>
                <w:szCs w:val="18"/>
              </w:rPr>
              <w:t>水</w:t>
            </w:r>
          </w:p>
          <w:p>
            <w:pPr>
              <w:spacing w:line="240" w:lineRule="auto"/>
              <w:jc w:val="both"/>
              <w:rPr>
                <w:sz w:val="18"/>
                <w:szCs w:val="18"/>
              </w:rPr>
            </w:pPr>
          </w:p>
          <w:p>
            <w:pPr>
              <w:spacing w:line="240" w:lineRule="auto"/>
              <w:jc w:val="both"/>
              <w:rPr>
                <w:sz w:val="18"/>
                <w:szCs w:val="18"/>
              </w:rPr>
            </w:pPr>
            <w:r>
              <w:rPr>
                <w:sz w:val="18"/>
                <w:szCs w:val="18"/>
              </w:rPr>
              <w:t>总</w:t>
            </w:r>
          </w:p>
          <w:p>
            <w:pPr>
              <w:spacing w:line="240" w:lineRule="auto"/>
              <w:jc w:val="both"/>
              <w:rPr>
                <w:sz w:val="18"/>
                <w:szCs w:val="18"/>
              </w:rPr>
            </w:pPr>
          </w:p>
          <w:p>
            <w:pPr>
              <w:spacing w:line="240" w:lineRule="auto"/>
              <w:jc w:val="both"/>
              <w:rPr>
                <w:sz w:val="18"/>
                <w:szCs w:val="18"/>
              </w:rPr>
            </w:pPr>
            <w:r>
              <w:rPr>
                <w:sz w:val="18"/>
                <w:szCs w:val="18"/>
              </w:rPr>
              <w:t>量</w:t>
            </w:r>
          </w:p>
          <w:p>
            <w:pPr>
              <w:spacing w:line="240" w:lineRule="auto"/>
              <w:jc w:val="both"/>
              <w:rPr>
                <w:sz w:val="18"/>
                <w:szCs w:val="18"/>
              </w:rPr>
            </w:pPr>
          </w:p>
          <w:p>
            <w:pPr>
              <w:spacing w:line="240" w:lineRule="auto"/>
              <w:jc w:val="both"/>
              <w:rPr>
                <w:sz w:val="18"/>
                <w:szCs w:val="18"/>
              </w:rPr>
            </w:pPr>
            <w:r>
              <w:rPr>
                <w:sz w:val="18"/>
                <w:szCs w:val="18"/>
              </w:rPr>
              <w:t>控</w:t>
            </w:r>
          </w:p>
          <w:p>
            <w:pPr>
              <w:spacing w:line="240" w:lineRule="auto"/>
              <w:jc w:val="both"/>
              <w:rPr>
                <w:sz w:val="18"/>
                <w:szCs w:val="18"/>
              </w:rPr>
            </w:pPr>
          </w:p>
          <w:p>
            <w:pPr>
              <w:spacing w:line="240" w:lineRule="auto"/>
              <w:jc w:val="both"/>
              <w:rPr>
                <w:sz w:val="18"/>
                <w:szCs w:val="18"/>
              </w:rPr>
            </w:pPr>
            <w:r>
              <w:rPr>
                <w:sz w:val="18"/>
                <w:szCs w:val="18"/>
              </w:rPr>
              <w:t>制</w:t>
            </w:r>
          </w:p>
        </w:tc>
        <w:tc>
          <w:tcPr>
            <w:tcW w:w="423" w:type="dxa"/>
            <w:vMerge w:val="restart"/>
            <w:tcMar>
              <w:left w:w="6" w:type="dxa"/>
              <w:right w:w="6" w:type="dxa"/>
            </w:tcMar>
            <w:vAlign w:val="center"/>
          </w:tcPr>
          <w:p>
            <w:pPr>
              <w:spacing w:line="240" w:lineRule="auto"/>
              <w:jc w:val="both"/>
              <w:rPr>
                <w:sz w:val="18"/>
                <w:szCs w:val="18"/>
              </w:rPr>
            </w:pPr>
            <w:r>
              <w:rPr>
                <w:sz w:val="18"/>
                <w:szCs w:val="18"/>
              </w:rPr>
              <w:t>1</w:t>
            </w:r>
          </w:p>
        </w:tc>
        <w:tc>
          <w:tcPr>
            <w:tcW w:w="570" w:type="dxa"/>
            <w:vMerge w:val="restart"/>
            <w:tcMar>
              <w:left w:w="6" w:type="dxa"/>
              <w:right w:w="6" w:type="dxa"/>
            </w:tcMar>
            <w:vAlign w:val="center"/>
          </w:tcPr>
          <w:p>
            <w:pPr>
              <w:spacing w:line="240" w:lineRule="auto"/>
              <w:jc w:val="both"/>
              <w:rPr>
                <w:sz w:val="18"/>
                <w:szCs w:val="18"/>
              </w:rPr>
            </w:pPr>
            <w:r>
              <w:rPr>
                <w:sz w:val="18"/>
                <w:szCs w:val="18"/>
              </w:rPr>
              <w:t>严格</w:t>
            </w:r>
          </w:p>
          <w:p>
            <w:pPr>
              <w:spacing w:line="240" w:lineRule="auto"/>
              <w:jc w:val="both"/>
              <w:rPr>
                <w:sz w:val="18"/>
                <w:szCs w:val="18"/>
              </w:rPr>
            </w:pPr>
            <w:r>
              <w:rPr>
                <w:sz w:val="18"/>
                <w:szCs w:val="18"/>
              </w:rPr>
              <w:t>规划</w:t>
            </w:r>
          </w:p>
          <w:p>
            <w:pPr>
              <w:spacing w:line="240" w:lineRule="auto"/>
              <w:jc w:val="both"/>
              <w:rPr>
                <w:sz w:val="18"/>
                <w:szCs w:val="18"/>
              </w:rPr>
            </w:pPr>
            <w:r>
              <w:rPr>
                <w:sz w:val="18"/>
                <w:szCs w:val="18"/>
              </w:rPr>
              <w:t>管理和</w:t>
            </w:r>
          </w:p>
          <w:p>
            <w:pPr>
              <w:spacing w:line="240" w:lineRule="auto"/>
              <w:jc w:val="both"/>
              <w:rPr>
                <w:sz w:val="18"/>
                <w:szCs w:val="18"/>
              </w:rPr>
            </w:pPr>
            <w:r>
              <w:rPr>
                <w:sz w:val="18"/>
                <w:szCs w:val="18"/>
              </w:rPr>
              <w:t>水资源</w:t>
            </w:r>
          </w:p>
          <w:p>
            <w:pPr>
              <w:spacing w:line="240" w:lineRule="auto"/>
              <w:jc w:val="both"/>
              <w:rPr>
                <w:sz w:val="18"/>
                <w:szCs w:val="18"/>
              </w:rPr>
            </w:pPr>
            <w:r>
              <w:rPr>
                <w:sz w:val="18"/>
                <w:szCs w:val="18"/>
              </w:rPr>
              <w:t>论证</w:t>
            </w:r>
          </w:p>
        </w:tc>
        <w:tc>
          <w:tcPr>
            <w:tcW w:w="426" w:type="dxa"/>
            <w:vMerge w:val="restart"/>
            <w:tcMar>
              <w:left w:w="6" w:type="dxa"/>
              <w:right w:w="6" w:type="dxa"/>
            </w:tcMar>
            <w:vAlign w:val="center"/>
          </w:tcPr>
          <w:p>
            <w:pPr>
              <w:spacing w:line="240" w:lineRule="auto"/>
              <w:jc w:val="both"/>
              <w:rPr>
                <w:sz w:val="18"/>
                <w:szCs w:val="18"/>
              </w:rPr>
            </w:pPr>
            <w:r>
              <w:rPr>
                <w:sz w:val="18"/>
                <w:szCs w:val="18"/>
              </w:rPr>
              <w:t>5</w:t>
            </w:r>
          </w:p>
        </w:tc>
        <w:tc>
          <w:tcPr>
            <w:tcW w:w="3583" w:type="dxa"/>
            <w:vMerge w:val="restart"/>
            <w:tcMar>
              <w:left w:w="6" w:type="dxa"/>
              <w:right w:w="6" w:type="dxa"/>
            </w:tcMar>
            <w:vAlign w:val="center"/>
          </w:tcPr>
          <w:p>
            <w:pPr>
              <w:spacing w:line="240" w:lineRule="auto"/>
              <w:rPr>
                <w:sz w:val="18"/>
                <w:szCs w:val="18"/>
              </w:rPr>
            </w:pPr>
            <w:r>
              <w:rPr>
                <w:sz w:val="18"/>
                <w:szCs w:val="18"/>
              </w:rPr>
              <w:t>在相关规划和项目建设布局中加强水资源论证工作，严格执行建设项目水资源论证制度。</w:t>
            </w:r>
          </w:p>
        </w:tc>
        <w:tc>
          <w:tcPr>
            <w:tcW w:w="8345" w:type="dxa"/>
            <w:vAlign w:val="center"/>
          </w:tcPr>
          <w:p>
            <w:r>
              <w:rPr>
                <w:sz w:val="18"/>
                <w:szCs w:val="18"/>
              </w:rPr>
              <w:t>1</w:t>
            </w:r>
            <w:r>
              <w:rPr>
                <w:rFonts w:hint="eastAsia"/>
                <w:sz w:val="18"/>
                <w:szCs w:val="18"/>
              </w:rPr>
              <w:t>.</w:t>
            </w:r>
            <w:r>
              <w:rPr>
                <w:sz w:val="18"/>
                <w:szCs w:val="18"/>
              </w:rPr>
              <w:t>开展工业园区和城市发展规划水资源论证工作，得2分；尚未开展工业园区规划水资源论证工作，不得分。</w:t>
            </w:r>
          </w:p>
          <w:p>
            <w:pPr>
              <w:adjustRightInd w:val="0"/>
              <w:spacing w:line="240" w:lineRule="auto"/>
              <w:ind w:firstLine="360" w:firstLineChars="200"/>
              <w:rPr>
                <w:sz w:val="18"/>
                <w:szCs w:val="18"/>
              </w:rPr>
            </w:pPr>
            <w:r>
              <w:rPr>
                <w:sz w:val="18"/>
                <w:szCs w:val="18"/>
              </w:rPr>
              <w:t>由地市级发展改革部门提供相关规划和重大项目布局清单（需附批复文件），未提供清单或弄虚作假的，扣1.5分。规划水资源论证报告书未提出以下要求：按照水资源条件合理布局产业，采用先进节水技术，禁止采用淘汰类用水技术，采用先进用水定额，发现一项扣0.5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5" w:hRule="atLeast"/>
          <w:jc w:val="center"/>
        </w:trPr>
        <w:tc>
          <w:tcPr>
            <w:tcW w:w="481" w:type="dxa"/>
            <w:vMerge w:val="continue"/>
            <w:tcMar>
              <w:left w:w="6" w:type="dxa"/>
              <w:right w:w="6" w:type="dxa"/>
            </w:tcMar>
            <w:vAlign w:val="center"/>
          </w:tcPr>
          <w:p>
            <w:pPr>
              <w:snapToGrid/>
              <w:spacing w:line="240" w:lineRule="auto"/>
              <w:jc w:val="both"/>
              <w:rPr>
                <w:sz w:val="18"/>
                <w:szCs w:val="18"/>
              </w:rPr>
            </w:pPr>
          </w:p>
        </w:tc>
        <w:tc>
          <w:tcPr>
            <w:tcW w:w="423" w:type="dxa"/>
            <w:vMerge w:val="continue"/>
            <w:tcMar>
              <w:left w:w="6" w:type="dxa"/>
              <w:right w:w="6" w:type="dxa"/>
            </w:tcMar>
            <w:vAlign w:val="center"/>
          </w:tcPr>
          <w:p>
            <w:pPr>
              <w:spacing w:line="240" w:lineRule="auto"/>
              <w:jc w:val="both"/>
              <w:rPr>
                <w:sz w:val="18"/>
                <w:szCs w:val="18"/>
              </w:rPr>
            </w:pPr>
          </w:p>
        </w:tc>
        <w:tc>
          <w:tcPr>
            <w:tcW w:w="570" w:type="dxa"/>
            <w:vMerge w:val="continue"/>
            <w:tcMar>
              <w:left w:w="6" w:type="dxa"/>
              <w:right w:w="6" w:type="dxa"/>
            </w:tcMar>
            <w:vAlign w:val="center"/>
          </w:tcPr>
          <w:p>
            <w:pPr>
              <w:spacing w:line="240" w:lineRule="auto"/>
              <w:jc w:val="both"/>
              <w:rPr>
                <w:sz w:val="18"/>
                <w:szCs w:val="18"/>
              </w:rPr>
            </w:pPr>
          </w:p>
        </w:tc>
        <w:tc>
          <w:tcPr>
            <w:tcW w:w="426" w:type="dxa"/>
            <w:vMerge w:val="continue"/>
            <w:tcMar>
              <w:left w:w="6" w:type="dxa"/>
              <w:right w:w="6" w:type="dxa"/>
            </w:tcMar>
            <w:vAlign w:val="center"/>
          </w:tcPr>
          <w:p>
            <w:pPr>
              <w:spacing w:line="240" w:lineRule="auto"/>
              <w:jc w:val="both"/>
              <w:rPr>
                <w:sz w:val="18"/>
                <w:szCs w:val="18"/>
              </w:rPr>
            </w:pPr>
          </w:p>
        </w:tc>
        <w:tc>
          <w:tcPr>
            <w:tcW w:w="3583" w:type="dxa"/>
            <w:vMerge w:val="continue"/>
            <w:tcMar>
              <w:left w:w="6" w:type="dxa"/>
              <w:right w:w="6" w:type="dxa"/>
            </w:tcMar>
            <w:vAlign w:val="center"/>
          </w:tcPr>
          <w:p>
            <w:pPr>
              <w:spacing w:line="240" w:lineRule="auto"/>
              <w:rPr>
                <w:sz w:val="18"/>
                <w:szCs w:val="18"/>
              </w:rPr>
            </w:pPr>
          </w:p>
        </w:tc>
        <w:tc>
          <w:tcPr>
            <w:tcW w:w="8345" w:type="dxa"/>
            <w:vAlign w:val="center"/>
          </w:tcPr>
          <w:p>
            <w:r>
              <w:rPr>
                <w:sz w:val="18"/>
                <w:szCs w:val="18"/>
              </w:rPr>
              <w:t>2</w:t>
            </w:r>
            <w:r>
              <w:rPr>
                <w:rFonts w:hint="eastAsia"/>
                <w:sz w:val="18"/>
                <w:szCs w:val="18"/>
              </w:rPr>
              <w:t>.</w:t>
            </w:r>
            <w:r>
              <w:rPr>
                <w:sz w:val="18"/>
                <w:szCs w:val="18"/>
              </w:rPr>
              <w:t>按照要求对2015年度地市级以上发展改革部门审批、核准、备案的涉水建设项目开展水资源论证工作，得3分。</w:t>
            </w:r>
          </w:p>
          <w:p>
            <w:pPr>
              <w:adjustRightInd w:val="0"/>
              <w:spacing w:line="240" w:lineRule="auto"/>
              <w:ind w:firstLine="360" w:firstLineChars="200"/>
              <w:rPr>
                <w:b w:val="0"/>
                <w:bCs w:val="0"/>
                <w:sz w:val="18"/>
                <w:szCs w:val="18"/>
              </w:rPr>
            </w:pPr>
            <w:r>
              <w:rPr>
                <w:sz w:val="18"/>
                <w:szCs w:val="18"/>
              </w:rPr>
              <w:t>由地市级发展改革部门提供项目清单（需附批复文件），未提供项目清单或弄虚作假的，扣3分；对未开展水资源论证的，发现一例扣1分，扣完为止。建设项目水资源论证报告书未提出以下要求：节水设施“三同时”，采用节水技术工艺和设备，禁止采用淘汰类用水技术和设备，发现一项扣0.5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3" w:hRule="atLeast"/>
          <w:jc w:val="center"/>
        </w:trPr>
        <w:tc>
          <w:tcPr>
            <w:tcW w:w="481" w:type="dxa"/>
            <w:vMerge w:val="continue"/>
            <w:tcMar>
              <w:left w:w="6" w:type="dxa"/>
              <w:right w:w="6" w:type="dxa"/>
            </w:tcMar>
            <w:vAlign w:val="center"/>
          </w:tcPr>
          <w:p>
            <w:pPr>
              <w:snapToGrid/>
              <w:spacing w:line="240" w:lineRule="auto"/>
              <w:jc w:val="both"/>
              <w:rPr>
                <w:sz w:val="18"/>
                <w:szCs w:val="18"/>
              </w:rPr>
            </w:pPr>
          </w:p>
        </w:tc>
        <w:tc>
          <w:tcPr>
            <w:tcW w:w="423" w:type="dxa"/>
            <w:tcMar>
              <w:left w:w="6" w:type="dxa"/>
              <w:right w:w="6" w:type="dxa"/>
            </w:tcMar>
            <w:vAlign w:val="center"/>
          </w:tcPr>
          <w:p>
            <w:pPr>
              <w:spacing w:line="240" w:lineRule="auto"/>
              <w:jc w:val="both"/>
              <w:rPr>
                <w:sz w:val="18"/>
                <w:szCs w:val="18"/>
              </w:rPr>
            </w:pPr>
            <w:r>
              <w:rPr>
                <w:sz w:val="18"/>
                <w:szCs w:val="18"/>
              </w:rPr>
              <w:t>2</w:t>
            </w:r>
          </w:p>
        </w:tc>
        <w:tc>
          <w:tcPr>
            <w:tcW w:w="570" w:type="dxa"/>
            <w:tcMar>
              <w:left w:w="6" w:type="dxa"/>
              <w:right w:w="6" w:type="dxa"/>
            </w:tcMar>
            <w:vAlign w:val="center"/>
          </w:tcPr>
          <w:p>
            <w:pPr>
              <w:spacing w:line="240" w:lineRule="auto"/>
              <w:jc w:val="both"/>
              <w:rPr>
                <w:sz w:val="18"/>
                <w:szCs w:val="18"/>
              </w:rPr>
            </w:pPr>
            <w:r>
              <w:rPr>
                <w:sz w:val="18"/>
                <w:szCs w:val="18"/>
              </w:rPr>
              <w:t>严格</w:t>
            </w:r>
          </w:p>
          <w:p>
            <w:pPr>
              <w:spacing w:line="240" w:lineRule="auto"/>
              <w:jc w:val="both"/>
              <w:rPr>
                <w:sz w:val="18"/>
                <w:szCs w:val="18"/>
              </w:rPr>
            </w:pPr>
            <w:r>
              <w:rPr>
                <w:sz w:val="18"/>
                <w:szCs w:val="18"/>
              </w:rPr>
              <w:t>控制</w:t>
            </w:r>
          </w:p>
          <w:p>
            <w:pPr>
              <w:spacing w:line="240" w:lineRule="auto"/>
              <w:jc w:val="both"/>
              <w:rPr>
                <w:sz w:val="18"/>
                <w:szCs w:val="18"/>
              </w:rPr>
            </w:pPr>
            <w:r>
              <w:rPr>
                <w:sz w:val="18"/>
                <w:szCs w:val="18"/>
              </w:rPr>
              <w:t>区域</w:t>
            </w:r>
          </w:p>
          <w:p>
            <w:pPr>
              <w:spacing w:line="240" w:lineRule="auto"/>
              <w:jc w:val="both"/>
              <w:rPr>
                <w:sz w:val="18"/>
                <w:szCs w:val="18"/>
              </w:rPr>
            </w:pPr>
            <w:r>
              <w:rPr>
                <w:sz w:val="18"/>
                <w:szCs w:val="18"/>
              </w:rPr>
              <w:t>取用水</w:t>
            </w:r>
          </w:p>
          <w:p>
            <w:pPr>
              <w:spacing w:line="240" w:lineRule="auto"/>
              <w:jc w:val="both"/>
              <w:rPr>
                <w:sz w:val="18"/>
                <w:szCs w:val="18"/>
              </w:rPr>
            </w:pPr>
            <w:r>
              <w:rPr>
                <w:sz w:val="18"/>
                <w:szCs w:val="18"/>
              </w:rPr>
              <w:t>总量</w:t>
            </w:r>
          </w:p>
        </w:tc>
        <w:tc>
          <w:tcPr>
            <w:tcW w:w="426" w:type="dxa"/>
            <w:tcMar>
              <w:left w:w="6" w:type="dxa"/>
              <w:right w:w="6" w:type="dxa"/>
            </w:tcMar>
            <w:vAlign w:val="center"/>
          </w:tcPr>
          <w:p>
            <w:pPr>
              <w:spacing w:line="240" w:lineRule="auto"/>
              <w:jc w:val="both"/>
              <w:rPr>
                <w:sz w:val="18"/>
                <w:szCs w:val="18"/>
              </w:rPr>
            </w:pPr>
            <w:r>
              <w:rPr>
                <w:sz w:val="18"/>
                <w:szCs w:val="18"/>
              </w:rPr>
              <w:t>3</w:t>
            </w:r>
          </w:p>
        </w:tc>
        <w:tc>
          <w:tcPr>
            <w:tcW w:w="3583" w:type="dxa"/>
            <w:tcMar>
              <w:left w:w="6" w:type="dxa"/>
              <w:right w:w="6" w:type="dxa"/>
            </w:tcMar>
            <w:vAlign w:val="center"/>
          </w:tcPr>
          <w:p>
            <w:pPr>
              <w:spacing w:line="240" w:lineRule="auto"/>
              <w:rPr>
                <w:sz w:val="18"/>
                <w:szCs w:val="18"/>
              </w:rPr>
            </w:pPr>
            <w:r>
              <w:rPr>
                <w:sz w:val="18"/>
                <w:szCs w:val="18"/>
              </w:rPr>
              <w:t>鼓励建立和探索水权制度，运用市场机制合理配置水资源。</w:t>
            </w:r>
          </w:p>
        </w:tc>
        <w:tc>
          <w:tcPr>
            <w:tcW w:w="8345" w:type="dxa"/>
            <w:vAlign w:val="center"/>
          </w:tcPr>
          <w:p>
            <w:r>
              <w:rPr>
                <w:sz w:val="18"/>
                <w:szCs w:val="18"/>
              </w:rPr>
              <w:t>3</w:t>
            </w:r>
            <w:r>
              <w:rPr>
                <w:rFonts w:hint="eastAsia"/>
                <w:sz w:val="18"/>
                <w:szCs w:val="18"/>
              </w:rPr>
              <w:t>.</w:t>
            </w:r>
            <w:r>
              <w:rPr>
                <w:sz w:val="18"/>
                <w:szCs w:val="18"/>
              </w:rPr>
              <w:t>制定市、县水资源使用权确权登记实施方案，经过同级政府批复并实施的，得3分。</w:t>
            </w:r>
          </w:p>
          <w:p>
            <w:pPr>
              <w:adjustRightInd w:val="0"/>
              <w:snapToGrid w:val="0"/>
              <w:spacing w:line="240" w:lineRule="auto"/>
              <w:ind w:firstLine="360" w:firstLineChars="200"/>
              <w:rPr>
                <w:rFonts w:hint="eastAsia"/>
                <w:sz w:val="18"/>
                <w:szCs w:val="18"/>
              </w:rPr>
            </w:pPr>
          </w:p>
          <w:p>
            <w:pPr>
              <w:adjustRightInd w:val="0"/>
              <w:spacing w:line="240" w:lineRule="auto"/>
              <w:ind w:firstLine="360" w:firstLineChars="200"/>
              <w:rPr>
                <w:sz w:val="18"/>
                <w:szCs w:val="18"/>
              </w:rPr>
            </w:pPr>
            <w:r>
              <w:rPr>
                <w:sz w:val="18"/>
                <w:szCs w:val="18"/>
              </w:rPr>
              <w:t>辖区内各县无水资源使用权确权登记方案的，发现一例扣1分，扣完为止。有方案但未通过批复的，发现一例扣0.5分,扣完为止。没有按照已批复的实施方案开展确权工作的，发现一例扣0.2分，扣完为止。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1" w:type="dxa"/>
            <w:vMerge w:val="continue"/>
            <w:tcMar>
              <w:left w:w="6" w:type="dxa"/>
              <w:right w:w="6" w:type="dxa"/>
            </w:tcMar>
            <w:vAlign w:val="center"/>
          </w:tcPr>
          <w:p>
            <w:pPr>
              <w:snapToGrid/>
              <w:spacing w:line="240" w:lineRule="auto"/>
              <w:jc w:val="both"/>
              <w:rPr>
                <w:sz w:val="18"/>
                <w:szCs w:val="18"/>
              </w:rPr>
            </w:pPr>
          </w:p>
        </w:tc>
        <w:tc>
          <w:tcPr>
            <w:tcW w:w="423" w:type="dxa"/>
            <w:tcMar>
              <w:left w:w="6" w:type="dxa"/>
              <w:right w:w="6" w:type="dxa"/>
            </w:tcMar>
            <w:vAlign w:val="center"/>
          </w:tcPr>
          <w:p>
            <w:pPr>
              <w:spacing w:line="240" w:lineRule="auto"/>
              <w:jc w:val="both"/>
              <w:rPr>
                <w:sz w:val="18"/>
                <w:szCs w:val="18"/>
              </w:rPr>
            </w:pPr>
            <w:r>
              <w:rPr>
                <w:sz w:val="18"/>
                <w:szCs w:val="18"/>
              </w:rPr>
              <w:t>3</w:t>
            </w:r>
          </w:p>
        </w:tc>
        <w:tc>
          <w:tcPr>
            <w:tcW w:w="570" w:type="dxa"/>
            <w:tcMar>
              <w:left w:w="6" w:type="dxa"/>
              <w:right w:w="6" w:type="dxa"/>
            </w:tcMar>
            <w:vAlign w:val="center"/>
          </w:tcPr>
          <w:p>
            <w:pPr>
              <w:spacing w:line="240" w:lineRule="auto"/>
              <w:jc w:val="both"/>
              <w:rPr>
                <w:sz w:val="18"/>
                <w:szCs w:val="18"/>
              </w:rPr>
            </w:pPr>
            <w:r>
              <w:rPr>
                <w:sz w:val="18"/>
                <w:szCs w:val="18"/>
              </w:rPr>
              <w:t>严格</w:t>
            </w:r>
          </w:p>
          <w:p>
            <w:pPr>
              <w:spacing w:line="240" w:lineRule="auto"/>
              <w:jc w:val="both"/>
              <w:rPr>
                <w:sz w:val="18"/>
                <w:szCs w:val="18"/>
              </w:rPr>
            </w:pPr>
            <w:r>
              <w:rPr>
                <w:sz w:val="18"/>
                <w:szCs w:val="18"/>
              </w:rPr>
              <w:t>实施</w:t>
            </w:r>
          </w:p>
          <w:p>
            <w:pPr>
              <w:spacing w:line="240" w:lineRule="auto"/>
              <w:jc w:val="both"/>
              <w:rPr>
                <w:sz w:val="18"/>
                <w:szCs w:val="18"/>
              </w:rPr>
            </w:pPr>
            <w:r>
              <w:rPr>
                <w:sz w:val="18"/>
                <w:szCs w:val="18"/>
              </w:rPr>
              <w:t>取水</w:t>
            </w:r>
          </w:p>
          <w:p>
            <w:pPr>
              <w:spacing w:line="240" w:lineRule="auto"/>
              <w:jc w:val="both"/>
              <w:rPr>
                <w:sz w:val="18"/>
                <w:szCs w:val="18"/>
              </w:rPr>
            </w:pPr>
            <w:r>
              <w:rPr>
                <w:sz w:val="18"/>
                <w:szCs w:val="18"/>
              </w:rPr>
              <w:t>许可</w:t>
            </w:r>
          </w:p>
        </w:tc>
        <w:tc>
          <w:tcPr>
            <w:tcW w:w="426" w:type="dxa"/>
            <w:tcMar>
              <w:left w:w="6" w:type="dxa"/>
              <w:right w:w="6" w:type="dxa"/>
            </w:tcMar>
            <w:vAlign w:val="center"/>
          </w:tcPr>
          <w:p>
            <w:pPr>
              <w:spacing w:line="240" w:lineRule="auto"/>
              <w:jc w:val="both"/>
              <w:rPr>
                <w:sz w:val="18"/>
                <w:szCs w:val="18"/>
              </w:rPr>
            </w:pPr>
            <w:r>
              <w:rPr>
                <w:sz w:val="18"/>
                <w:szCs w:val="18"/>
              </w:rPr>
              <w:t>5</w:t>
            </w:r>
          </w:p>
        </w:tc>
        <w:tc>
          <w:tcPr>
            <w:tcW w:w="3583" w:type="dxa"/>
            <w:tcMar>
              <w:left w:w="6" w:type="dxa"/>
              <w:right w:w="6" w:type="dxa"/>
            </w:tcMar>
            <w:vAlign w:val="center"/>
          </w:tcPr>
          <w:p>
            <w:pPr>
              <w:spacing w:line="240" w:lineRule="auto"/>
              <w:rPr>
                <w:sz w:val="18"/>
                <w:szCs w:val="18"/>
              </w:rPr>
            </w:pPr>
            <w:r>
              <w:rPr>
                <w:sz w:val="18"/>
                <w:szCs w:val="18"/>
              </w:rPr>
              <w:t>对取用水总量达到或超过控制指标的地区，暂停审批建设项目新增取水；对取用水总量接近控制指标的地区，限制审批建设项目新增取水；严格规范建设项目取水许可审批管理。</w:t>
            </w:r>
          </w:p>
        </w:tc>
        <w:tc>
          <w:tcPr>
            <w:tcW w:w="8345" w:type="dxa"/>
            <w:vAlign w:val="center"/>
          </w:tcPr>
          <w:p>
            <w:r>
              <w:rPr>
                <w:sz w:val="18"/>
                <w:szCs w:val="18"/>
              </w:rPr>
              <w:t>4</w:t>
            </w:r>
            <w:r>
              <w:rPr>
                <w:rFonts w:hint="eastAsia"/>
                <w:sz w:val="18"/>
                <w:szCs w:val="18"/>
              </w:rPr>
              <w:t>.</w:t>
            </w:r>
            <w:r>
              <w:rPr>
                <w:sz w:val="18"/>
                <w:szCs w:val="18"/>
              </w:rPr>
              <w:t>严格实施取水许可，</w:t>
            </w:r>
            <w:r>
              <w:rPr>
                <w:bCs w:val="0"/>
                <w:color w:val="auto"/>
                <w:sz w:val="18"/>
                <w:szCs w:val="18"/>
              </w:rPr>
              <w:t>满分5分，有越权审批事项的，此项不得分</w:t>
            </w:r>
            <w:r>
              <w:rPr>
                <w:sz w:val="18"/>
                <w:szCs w:val="18"/>
              </w:rPr>
              <w:t>。</w:t>
            </w:r>
          </w:p>
          <w:p>
            <w:r>
              <w:rPr>
                <w:sz w:val="18"/>
                <w:szCs w:val="18"/>
              </w:rPr>
              <w:t>按期完成取水许可证延续换发工作的，得3分，各县未完成换发工作的，发现一例扣0.5分，扣完为止</w:t>
            </w:r>
            <w:r>
              <w:rPr>
                <w:rFonts w:hint="eastAsia"/>
                <w:sz w:val="18"/>
                <w:szCs w:val="18"/>
              </w:rPr>
              <w:t>。</w:t>
            </w:r>
          </w:p>
          <w:p>
            <w:r>
              <w:rPr>
                <w:sz w:val="18"/>
                <w:szCs w:val="18"/>
              </w:rPr>
              <w:t>按照规定对2015年新增用水户开展取水许可的，得1分。</w:t>
            </w:r>
          </w:p>
          <w:p>
            <w:pPr>
              <w:adjustRightInd w:val="0"/>
              <w:spacing w:line="240" w:lineRule="auto"/>
              <w:ind w:firstLine="360" w:firstLineChars="200"/>
              <w:rPr>
                <w:sz w:val="18"/>
                <w:szCs w:val="18"/>
              </w:rPr>
            </w:pPr>
            <w:r>
              <w:rPr>
                <w:sz w:val="18"/>
                <w:szCs w:val="18"/>
              </w:rPr>
              <w:t xml:space="preserve">完成对取水许可台账清查的，得1分。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1" w:type="dxa"/>
            <w:vMerge w:val="continue"/>
            <w:tcMar>
              <w:left w:w="6" w:type="dxa"/>
              <w:right w:w="6" w:type="dxa"/>
            </w:tcMar>
            <w:vAlign w:val="center"/>
          </w:tcPr>
          <w:p>
            <w:pPr>
              <w:snapToGrid/>
              <w:spacing w:line="240" w:lineRule="auto"/>
              <w:jc w:val="both"/>
              <w:rPr>
                <w:sz w:val="18"/>
                <w:szCs w:val="18"/>
              </w:rPr>
            </w:pPr>
          </w:p>
        </w:tc>
        <w:tc>
          <w:tcPr>
            <w:tcW w:w="423" w:type="dxa"/>
            <w:vMerge w:val="restart"/>
            <w:tcMar>
              <w:left w:w="6" w:type="dxa"/>
              <w:right w:w="6" w:type="dxa"/>
            </w:tcMar>
            <w:vAlign w:val="center"/>
          </w:tcPr>
          <w:p>
            <w:pPr>
              <w:spacing w:line="240" w:lineRule="auto"/>
              <w:jc w:val="both"/>
              <w:rPr>
                <w:sz w:val="18"/>
                <w:szCs w:val="18"/>
              </w:rPr>
            </w:pPr>
            <w:r>
              <w:rPr>
                <w:sz w:val="18"/>
                <w:szCs w:val="18"/>
              </w:rPr>
              <w:t>4</w:t>
            </w:r>
          </w:p>
        </w:tc>
        <w:tc>
          <w:tcPr>
            <w:tcW w:w="570" w:type="dxa"/>
            <w:vMerge w:val="restart"/>
            <w:tcMar>
              <w:left w:w="6" w:type="dxa"/>
              <w:right w:w="6" w:type="dxa"/>
            </w:tcMar>
            <w:vAlign w:val="center"/>
          </w:tcPr>
          <w:p>
            <w:pPr>
              <w:spacing w:line="240" w:lineRule="auto"/>
              <w:jc w:val="both"/>
              <w:rPr>
                <w:sz w:val="18"/>
                <w:szCs w:val="18"/>
              </w:rPr>
            </w:pPr>
            <w:r>
              <w:rPr>
                <w:sz w:val="18"/>
                <w:szCs w:val="18"/>
              </w:rPr>
              <w:t>严格</w:t>
            </w:r>
          </w:p>
          <w:p>
            <w:pPr>
              <w:spacing w:line="240" w:lineRule="auto"/>
              <w:jc w:val="both"/>
              <w:rPr>
                <w:sz w:val="18"/>
                <w:szCs w:val="18"/>
              </w:rPr>
            </w:pPr>
            <w:r>
              <w:rPr>
                <w:sz w:val="18"/>
                <w:szCs w:val="18"/>
              </w:rPr>
              <w:t>水资源</w:t>
            </w:r>
          </w:p>
          <w:p>
            <w:pPr>
              <w:spacing w:line="240" w:lineRule="auto"/>
              <w:jc w:val="both"/>
              <w:rPr>
                <w:sz w:val="18"/>
                <w:szCs w:val="18"/>
              </w:rPr>
            </w:pPr>
            <w:r>
              <w:rPr>
                <w:sz w:val="18"/>
                <w:szCs w:val="18"/>
              </w:rPr>
              <w:t>有偿</w:t>
            </w:r>
          </w:p>
          <w:p>
            <w:pPr>
              <w:spacing w:line="240" w:lineRule="auto"/>
              <w:jc w:val="both"/>
              <w:rPr>
                <w:sz w:val="18"/>
                <w:szCs w:val="18"/>
              </w:rPr>
            </w:pPr>
            <w:r>
              <w:rPr>
                <w:sz w:val="18"/>
                <w:szCs w:val="18"/>
              </w:rPr>
              <w:t>使用</w:t>
            </w:r>
          </w:p>
        </w:tc>
        <w:tc>
          <w:tcPr>
            <w:tcW w:w="426" w:type="dxa"/>
            <w:vMerge w:val="restart"/>
            <w:tcMar>
              <w:left w:w="6" w:type="dxa"/>
              <w:right w:w="6" w:type="dxa"/>
            </w:tcMar>
            <w:vAlign w:val="center"/>
          </w:tcPr>
          <w:p>
            <w:pPr>
              <w:spacing w:line="240" w:lineRule="auto"/>
              <w:jc w:val="both"/>
              <w:rPr>
                <w:sz w:val="18"/>
                <w:szCs w:val="18"/>
              </w:rPr>
            </w:pPr>
            <w:r>
              <w:rPr>
                <w:sz w:val="18"/>
                <w:szCs w:val="18"/>
              </w:rPr>
              <w:t>4</w:t>
            </w:r>
          </w:p>
        </w:tc>
        <w:tc>
          <w:tcPr>
            <w:tcW w:w="3583" w:type="dxa"/>
            <w:vMerge w:val="restart"/>
            <w:tcMar>
              <w:left w:w="6" w:type="dxa"/>
              <w:right w:w="6" w:type="dxa"/>
            </w:tcMar>
            <w:vAlign w:val="center"/>
          </w:tcPr>
          <w:p>
            <w:pPr>
              <w:spacing w:line="240" w:lineRule="auto"/>
              <w:rPr>
                <w:sz w:val="18"/>
                <w:szCs w:val="18"/>
              </w:rPr>
            </w:pPr>
            <w:r>
              <w:rPr>
                <w:sz w:val="18"/>
                <w:szCs w:val="18"/>
              </w:rPr>
              <w:t>严格水资源费征收、使用和管理，完善水资源费征收、使用和管理的规章制度；水资源费主要用于水资源节约、保护和管理，严格依法查处挤占挪用水资源费的行为。</w:t>
            </w:r>
          </w:p>
        </w:tc>
        <w:tc>
          <w:tcPr>
            <w:tcW w:w="8345" w:type="dxa"/>
            <w:vAlign w:val="center"/>
          </w:tcPr>
          <w:p>
            <w:r>
              <w:rPr>
                <w:sz w:val="18"/>
                <w:szCs w:val="18"/>
              </w:rPr>
              <w:t>5</w:t>
            </w:r>
            <w:r>
              <w:rPr>
                <w:rFonts w:hint="eastAsia"/>
                <w:sz w:val="18"/>
                <w:szCs w:val="18"/>
              </w:rPr>
              <w:t>.</w:t>
            </w:r>
            <w:r>
              <w:rPr>
                <w:sz w:val="18"/>
                <w:szCs w:val="18"/>
              </w:rPr>
              <w:t>出台本辖区执行自治区水资源费征收标准的文件，得1分。</w:t>
            </w:r>
          </w:p>
          <w:p>
            <w:pPr>
              <w:adjustRightInd w:val="0"/>
              <w:spacing w:line="240" w:lineRule="auto"/>
              <w:ind w:firstLine="360" w:firstLineChars="200"/>
              <w:rPr>
                <w:bCs w:val="0"/>
                <w:color w:val="auto"/>
                <w:sz w:val="18"/>
                <w:szCs w:val="18"/>
              </w:rPr>
            </w:pPr>
            <w:r>
              <w:rPr>
                <w:sz w:val="18"/>
                <w:szCs w:val="18"/>
              </w:rPr>
              <w:t>发现不按标准征收水资源费的（以实际征收财务凭证为准），不得分。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1" w:type="dxa"/>
            <w:vMerge w:val="continue"/>
            <w:tcMar>
              <w:left w:w="6" w:type="dxa"/>
              <w:right w:w="6" w:type="dxa"/>
            </w:tcMar>
            <w:vAlign w:val="center"/>
          </w:tcPr>
          <w:p>
            <w:pPr>
              <w:snapToGrid/>
              <w:spacing w:line="240" w:lineRule="auto"/>
              <w:jc w:val="both"/>
              <w:rPr>
                <w:sz w:val="18"/>
                <w:szCs w:val="18"/>
              </w:rPr>
            </w:pPr>
          </w:p>
        </w:tc>
        <w:tc>
          <w:tcPr>
            <w:tcW w:w="423" w:type="dxa"/>
            <w:vMerge w:val="continue"/>
            <w:tcMar>
              <w:left w:w="6" w:type="dxa"/>
              <w:right w:w="6" w:type="dxa"/>
            </w:tcMar>
            <w:vAlign w:val="center"/>
          </w:tcPr>
          <w:p>
            <w:pPr>
              <w:spacing w:line="240" w:lineRule="auto"/>
              <w:jc w:val="both"/>
              <w:rPr>
                <w:sz w:val="18"/>
                <w:szCs w:val="18"/>
              </w:rPr>
            </w:pPr>
          </w:p>
        </w:tc>
        <w:tc>
          <w:tcPr>
            <w:tcW w:w="570" w:type="dxa"/>
            <w:vMerge w:val="continue"/>
            <w:tcMar>
              <w:left w:w="6" w:type="dxa"/>
              <w:right w:w="6" w:type="dxa"/>
            </w:tcMar>
            <w:vAlign w:val="center"/>
          </w:tcPr>
          <w:p>
            <w:pPr>
              <w:spacing w:line="240" w:lineRule="auto"/>
              <w:jc w:val="both"/>
              <w:rPr>
                <w:sz w:val="18"/>
                <w:szCs w:val="18"/>
              </w:rPr>
            </w:pPr>
          </w:p>
        </w:tc>
        <w:tc>
          <w:tcPr>
            <w:tcW w:w="426" w:type="dxa"/>
            <w:vMerge w:val="continue"/>
            <w:tcMar>
              <w:left w:w="6" w:type="dxa"/>
              <w:right w:w="6" w:type="dxa"/>
            </w:tcMar>
            <w:vAlign w:val="center"/>
          </w:tcPr>
          <w:p>
            <w:pPr>
              <w:spacing w:line="240" w:lineRule="auto"/>
              <w:jc w:val="both"/>
              <w:rPr>
                <w:sz w:val="18"/>
                <w:szCs w:val="18"/>
              </w:rPr>
            </w:pPr>
          </w:p>
        </w:tc>
        <w:tc>
          <w:tcPr>
            <w:tcW w:w="3583" w:type="dxa"/>
            <w:vMerge w:val="continue"/>
            <w:tcMar>
              <w:left w:w="6" w:type="dxa"/>
              <w:right w:w="6" w:type="dxa"/>
            </w:tcMar>
            <w:vAlign w:val="center"/>
          </w:tcPr>
          <w:p>
            <w:pPr>
              <w:spacing w:line="240" w:lineRule="auto"/>
              <w:rPr>
                <w:sz w:val="18"/>
                <w:szCs w:val="18"/>
              </w:rPr>
            </w:pPr>
          </w:p>
        </w:tc>
        <w:tc>
          <w:tcPr>
            <w:tcW w:w="8345" w:type="dxa"/>
            <w:vAlign w:val="center"/>
          </w:tcPr>
          <w:p>
            <w:r>
              <w:rPr>
                <w:sz w:val="18"/>
                <w:szCs w:val="18"/>
              </w:rPr>
              <w:t>6</w:t>
            </w:r>
            <w:r>
              <w:rPr>
                <w:rFonts w:hint="eastAsia"/>
                <w:sz w:val="18"/>
                <w:szCs w:val="18"/>
              </w:rPr>
              <w:t>.</w:t>
            </w:r>
            <w:r>
              <w:rPr>
                <w:sz w:val="18"/>
                <w:szCs w:val="18"/>
              </w:rPr>
              <w:t>水资源费用于水资源节约、保护和管理的比例达到或超过60%但不足70%的，得1分；达到或超过70%</w:t>
            </w:r>
            <w:r>
              <w:rPr>
                <w:rFonts w:hint="eastAsia"/>
                <w:sz w:val="18"/>
                <w:szCs w:val="18"/>
              </w:rPr>
              <w:t>但</w:t>
            </w:r>
            <w:r>
              <w:rPr>
                <w:sz w:val="18"/>
                <w:szCs w:val="18"/>
              </w:rPr>
              <w:t>不足80%的，得2分；超过80%的，得3分。</w:t>
            </w:r>
          </w:p>
          <w:p>
            <w:pPr>
              <w:adjustRightInd w:val="0"/>
              <w:spacing w:line="240" w:lineRule="auto"/>
              <w:ind w:firstLine="360" w:firstLineChars="200"/>
              <w:rPr>
                <w:bCs w:val="0"/>
                <w:color w:val="auto"/>
                <w:sz w:val="18"/>
                <w:szCs w:val="18"/>
              </w:rPr>
            </w:pPr>
            <w:r>
              <w:rPr>
                <w:sz w:val="18"/>
                <w:szCs w:val="18"/>
              </w:rPr>
              <w:t>发现超范围使用水资源费的，不得分。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1" w:type="dxa"/>
            <w:vMerge w:val="continue"/>
            <w:tcMar>
              <w:left w:w="6" w:type="dxa"/>
              <w:right w:w="6" w:type="dxa"/>
            </w:tcMar>
            <w:vAlign w:val="center"/>
          </w:tcPr>
          <w:p>
            <w:pPr>
              <w:snapToGrid/>
              <w:spacing w:line="240" w:lineRule="auto"/>
              <w:jc w:val="both"/>
              <w:rPr>
                <w:sz w:val="18"/>
                <w:szCs w:val="18"/>
              </w:rPr>
            </w:pPr>
          </w:p>
        </w:tc>
        <w:tc>
          <w:tcPr>
            <w:tcW w:w="423" w:type="dxa"/>
            <w:vMerge w:val="restart"/>
            <w:tcMar>
              <w:left w:w="6" w:type="dxa"/>
              <w:right w:w="6" w:type="dxa"/>
            </w:tcMar>
            <w:vAlign w:val="center"/>
          </w:tcPr>
          <w:p>
            <w:pPr>
              <w:spacing w:line="240" w:lineRule="auto"/>
              <w:jc w:val="both"/>
              <w:rPr>
                <w:sz w:val="18"/>
                <w:szCs w:val="18"/>
              </w:rPr>
            </w:pPr>
            <w:r>
              <w:rPr>
                <w:sz w:val="18"/>
                <w:szCs w:val="18"/>
              </w:rPr>
              <w:t>5</w:t>
            </w:r>
          </w:p>
        </w:tc>
        <w:tc>
          <w:tcPr>
            <w:tcW w:w="570" w:type="dxa"/>
            <w:vMerge w:val="restart"/>
            <w:tcMar>
              <w:left w:w="6" w:type="dxa"/>
              <w:right w:w="6" w:type="dxa"/>
            </w:tcMar>
            <w:vAlign w:val="center"/>
          </w:tcPr>
          <w:p>
            <w:pPr>
              <w:spacing w:line="240" w:lineRule="auto"/>
              <w:jc w:val="both"/>
              <w:rPr>
                <w:sz w:val="18"/>
                <w:szCs w:val="18"/>
              </w:rPr>
            </w:pPr>
            <w:r>
              <w:rPr>
                <w:sz w:val="18"/>
                <w:szCs w:val="18"/>
              </w:rPr>
              <w:t>严格</w:t>
            </w:r>
          </w:p>
          <w:p>
            <w:pPr>
              <w:spacing w:line="240" w:lineRule="auto"/>
              <w:jc w:val="both"/>
              <w:rPr>
                <w:sz w:val="18"/>
                <w:szCs w:val="18"/>
              </w:rPr>
            </w:pPr>
            <w:r>
              <w:rPr>
                <w:sz w:val="18"/>
                <w:szCs w:val="18"/>
              </w:rPr>
              <w:t>地下水</w:t>
            </w:r>
          </w:p>
          <w:p>
            <w:pPr>
              <w:spacing w:line="240" w:lineRule="auto"/>
              <w:jc w:val="both"/>
              <w:rPr>
                <w:sz w:val="18"/>
                <w:szCs w:val="18"/>
              </w:rPr>
            </w:pPr>
            <w:r>
              <w:rPr>
                <w:sz w:val="18"/>
                <w:szCs w:val="18"/>
              </w:rPr>
              <w:t>管理</w:t>
            </w:r>
          </w:p>
          <w:p>
            <w:pPr>
              <w:spacing w:line="240" w:lineRule="auto"/>
              <w:jc w:val="both"/>
              <w:rPr>
                <w:sz w:val="18"/>
                <w:szCs w:val="18"/>
              </w:rPr>
            </w:pPr>
            <w:r>
              <w:rPr>
                <w:sz w:val="18"/>
                <w:szCs w:val="18"/>
              </w:rPr>
              <w:t>和保护</w:t>
            </w:r>
          </w:p>
        </w:tc>
        <w:tc>
          <w:tcPr>
            <w:tcW w:w="426" w:type="dxa"/>
            <w:vMerge w:val="restart"/>
            <w:tcMar>
              <w:left w:w="6" w:type="dxa"/>
              <w:right w:w="6" w:type="dxa"/>
            </w:tcMar>
            <w:vAlign w:val="center"/>
          </w:tcPr>
          <w:p>
            <w:pPr>
              <w:spacing w:line="240" w:lineRule="auto"/>
              <w:jc w:val="both"/>
              <w:rPr>
                <w:sz w:val="18"/>
                <w:szCs w:val="18"/>
              </w:rPr>
            </w:pPr>
            <w:r>
              <w:rPr>
                <w:sz w:val="18"/>
                <w:szCs w:val="18"/>
              </w:rPr>
              <w:t>6</w:t>
            </w:r>
          </w:p>
        </w:tc>
        <w:tc>
          <w:tcPr>
            <w:tcW w:w="3583" w:type="dxa"/>
            <w:vMerge w:val="restart"/>
            <w:tcMar>
              <w:left w:w="6" w:type="dxa"/>
              <w:right w:w="6" w:type="dxa"/>
            </w:tcMar>
            <w:vAlign w:val="center"/>
          </w:tcPr>
          <w:p>
            <w:pPr>
              <w:spacing w:line="240" w:lineRule="auto"/>
              <w:rPr>
                <w:sz w:val="18"/>
                <w:szCs w:val="18"/>
              </w:rPr>
            </w:pPr>
            <w:r>
              <w:rPr>
                <w:sz w:val="18"/>
                <w:szCs w:val="18"/>
              </w:rPr>
              <w:t>实行地下水取用水总量控制和水位控制，核定并公布地下水禁采和限采范围，严格查处地下水违规采用；规范机井建设审批管理，限期关闭在城市公共供水管网覆盖范围内的自备水井；编制并实施地下水利用与保护规划。</w:t>
            </w:r>
          </w:p>
        </w:tc>
        <w:tc>
          <w:tcPr>
            <w:tcW w:w="8345" w:type="dxa"/>
            <w:vAlign w:val="center"/>
          </w:tcPr>
          <w:p>
            <w:r>
              <w:rPr>
                <w:sz w:val="18"/>
                <w:szCs w:val="18"/>
              </w:rPr>
              <w:t>7</w:t>
            </w:r>
            <w:r>
              <w:rPr>
                <w:rFonts w:hint="eastAsia"/>
                <w:sz w:val="18"/>
                <w:szCs w:val="18"/>
              </w:rPr>
              <w:t>.</w:t>
            </w:r>
            <w:r>
              <w:rPr>
                <w:sz w:val="18"/>
                <w:szCs w:val="18"/>
              </w:rPr>
              <w:t>制定各市、县城市公共供水管网覆盖范围内自备井关闭方案，并按计划开展工作的，得3分：</w:t>
            </w:r>
          </w:p>
          <w:p>
            <w:pPr>
              <w:adjustRightInd w:val="0"/>
              <w:spacing w:line="240" w:lineRule="auto"/>
              <w:ind w:firstLine="360" w:firstLineChars="200"/>
              <w:rPr>
                <w:sz w:val="18"/>
                <w:szCs w:val="18"/>
              </w:rPr>
            </w:pPr>
            <w:r>
              <w:rPr>
                <w:sz w:val="18"/>
                <w:szCs w:val="18"/>
              </w:rPr>
              <w:t>辖区内各县无自备井关闭方案，发现一例扣1分，扣完为止；有方案但未开展相关工作的，发现一例扣0.5分，扣完为止；没有上报方案及年度实施情况的，发现一例扣0.5分，扣完为止；未按时上报年度实施情况的，发现一例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1" w:type="dxa"/>
            <w:vMerge w:val="continue"/>
            <w:tcMar>
              <w:left w:w="6" w:type="dxa"/>
              <w:right w:w="6" w:type="dxa"/>
            </w:tcMar>
            <w:vAlign w:val="center"/>
          </w:tcPr>
          <w:p>
            <w:pPr>
              <w:snapToGrid/>
              <w:spacing w:line="240" w:lineRule="auto"/>
              <w:jc w:val="both"/>
              <w:rPr>
                <w:sz w:val="18"/>
                <w:szCs w:val="18"/>
              </w:rPr>
            </w:pPr>
          </w:p>
        </w:tc>
        <w:tc>
          <w:tcPr>
            <w:tcW w:w="423" w:type="dxa"/>
            <w:vMerge w:val="continue"/>
            <w:tcMar>
              <w:left w:w="6" w:type="dxa"/>
              <w:right w:w="6" w:type="dxa"/>
            </w:tcMar>
            <w:vAlign w:val="center"/>
          </w:tcPr>
          <w:p>
            <w:pPr>
              <w:spacing w:line="240" w:lineRule="auto"/>
              <w:jc w:val="both"/>
              <w:rPr>
                <w:sz w:val="18"/>
                <w:szCs w:val="18"/>
              </w:rPr>
            </w:pPr>
          </w:p>
        </w:tc>
        <w:tc>
          <w:tcPr>
            <w:tcW w:w="570" w:type="dxa"/>
            <w:vMerge w:val="continue"/>
            <w:tcMar>
              <w:left w:w="6" w:type="dxa"/>
              <w:right w:w="6" w:type="dxa"/>
            </w:tcMar>
            <w:vAlign w:val="center"/>
          </w:tcPr>
          <w:p>
            <w:pPr>
              <w:spacing w:line="240" w:lineRule="auto"/>
              <w:jc w:val="both"/>
              <w:rPr>
                <w:sz w:val="18"/>
                <w:szCs w:val="18"/>
              </w:rPr>
            </w:pPr>
          </w:p>
        </w:tc>
        <w:tc>
          <w:tcPr>
            <w:tcW w:w="426" w:type="dxa"/>
            <w:vMerge w:val="continue"/>
            <w:tcMar>
              <w:left w:w="6" w:type="dxa"/>
              <w:right w:w="6" w:type="dxa"/>
            </w:tcMar>
            <w:vAlign w:val="center"/>
          </w:tcPr>
          <w:p>
            <w:pPr>
              <w:spacing w:line="240" w:lineRule="auto"/>
              <w:jc w:val="both"/>
              <w:rPr>
                <w:sz w:val="18"/>
                <w:szCs w:val="18"/>
              </w:rPr>
            </w:pPr>
          </w:p>
        </w:tc>
        <w:tc>
          <w:tcPr>
            <w:tcW w:w="3583" w:type="dxa"/>
            <w:vMerge w:val="continue"/>
            <w:tcMar>
              <w:left w:w="6" w:type="dxa"/>
              <w:right w:w="6" w:type="dxa"/>
            </w:tcMar>
            <w:vAlign w:val="center"/>
          </w:tcPr>
          <w:p>
            <w:pPr>
              <w:spacing w:line="240" w:lineRule="auto"/>
              <w:rPr>
                <w:sz w:val="18"/>
                <w:szCs w:val="18"/>
              </w:rPr>
            </w:pPr>
          </w:p>
        </w:tc>
        <w:tc>
          <w:tcPr>
            <w:tcW w:w="8345" w:type="dxa"/>
            <w:vAlign w:val="center"/>
          </w:tcPr>
          <w:p>
            <w:r>
              <w:rPr>
                <w:sz w:val="18"/>
                <w:szCs w:val="18"/>
              </w:rPr>
              <w:t>8</w:t>
            </w:r>
            <w:r>
              <w:rPr>
                <w:rFonts w:hint="eastAsia"/>
                <w:sz w:val="18"/>
                <w:szCs w:val="18"/>
              </w:rPr>
              <w:t>.</w:t>
            </w:r>
            <w:r>
              <w:rPr>
                <w:sz w:val="18"/>
                <w:szCs w:val="18"/>
              </w:rPr>
              <w:t>加强超采区治理，编制治理方案并通过本级政府批复，积极采取治理措施并取得明显成效，得1分：</w:t>
            </w:r>
          </w:p>
          <w:p>
            <w:pPr>
              <w:adjustRightInd w:val="0"/>
              <w:spacing w:line="240" w:lineRule="auto"/>
              <w:ind w:firstLine="360" w:firstLineChars="200"/>
              <w:rPr>
                <w:sz w:val="18"/>
                <w:szCs w:val="18"/>
              </w:rPr>
            </w:pPr>
            <w:r>
              <w:rPr>
                <w:sz w:val="18"/>
                <w:szCs w:val="18"/>
              </w:rPr>
              <w:t>存在地下水超采区的，未编制超采区治理方案，此项不得分；有方案但未经同级政府批复的，扣0.5分；方案未报水利厅备案的，扣0.2分。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1" w:type="dxa"/>
            <w:vMerge w:val="continue"/>
            <w:tcMar>
              <w:left w:w="6" w:type="dxa"/>
              <w:right w:w="6" w:type="dxa"/>
            </w:tcMar>
            <w:vAlign w:val="center"/>
          </w:tcPr>
          <w:p>
            <w:pPr>
              <w:snapToGrid/>
              <w:spacing w:line="240" w:lineRule="auto"/>
              <w:jc w:val="both"/>
              <w:rPr>
                <w:sz w:val="18"/>
                <w:szCs w:val="18"/>
              </w:rPr>
            </w:pPr>
          </w:p>
        </w:tc>
        <w:tc>
          <w:tcPr>
            <w:tcW w:w="423" w:type="dxa"/>
            <w:vMerge w:val="continue"/>
            <w:tcMar>
              <w:left w:w="6" w:type="dxa"/>
              <w:right w:w="6" w:type="dxa"/>
            </w:tcMar>
            <w:vAlign w:val="center"/>
          </w:tcPr>
          <w:p>
            <w:pPr>
              <w:spacing w:line="240" w:lineRule="auto"/>
              <w:jc w:val="both"/>
              <w:rPr>
                <w:sz w:val="18"/>
                <w:szCs w:val="18"/>
              </w:rPr>
            </w:pPr>
          </w:p>
        </w:tc>
        <w:tc>
          <w:tcPr>
            <w:tcW w:w="570" w:type="dxa"/>
            <w:vMerge w:val="continue"/>
            <w:tcMar>
              <w:left w:w="6" w:type="dxa"/>
              <w:right w:w="6" w:type="dxa"/>
            </w:tcMar>
            <w:vAlign w:val="center"/>
          </w:tcPr>
          <w:p>
            <w:pPr>
              <w:spacing w:line="240" w:lineRule="auto"/>
              <w:jc w:val="both"/>
              <w:rPr>
                <w:sz w:val="18"/>
                <w:szCs w:val="18"/>
              </w:rPr>
            </w:pPr>
          </w:p>
        </w:tc>
        <w:tc>
          <w:tcPr>
            <w:tcW w:w="426" w:type="dxa"/>
            <w:vMerge w:val="continue"/>
            <w:tcMar>
              <w:left w:w="6" w:type="dxa"/>
              <w:right w:w="6" w:type="dxa"/>
            </w:tcMar>
            <w:vAlign w:val="center"/>
          </w:tcPr>
          <w:p>
            <w:pPr>
              <w:spacing w:line="240" w:lineRule="auto"/>
              <w:jc w:val="both"/>
              <w:rPr>
                <w:sz w:val="18"/>
                <w:szCs w:val="18"/>
              </w:rPr>
            </w:pPr>
          </w:p>
        </w:tc>
        <w:tc>
          <w:tcPr>
            <w:tcW w:w="3583" w:type="dxa"/>
            <w:vMerge w:val="continue"/>
            <w:tcMar>
              <w:left w:w="6" w:type="dxa"/>
              <w:right w:w="6" w:type="dxa"/>
            </w:tcMar>
            <w:vAlign w:val="center"/>
          </w:tcPr>
          <w:p>
            <w:pPr>
              <w:spacing w:line="240" w:lineRule="auto"/>
              <w:rPr>
                <w:sz w:val="18"/>
                <w:szCs w:val="18"/>
              </w:rPr>
            </w:pPr>
          </w:p>
        </w:tc>
        <w:tc>
          <w:tcPr>
            <w:tcW w:w="8345" w:type="dxa"/>
            <w:vAlign w:val="center"/>
          </w:tcPr>
          <w:p>
            <w:r>
              <w:rPr>
                <w:rFonts w:hint="eastAsia"/>
                <w:sz w:val="18"/>
                <w:szCs w:val="18"/>
              </w:rPr>
              <w:t>9.</w:t>
            </w:r>
            <w:r>
              <w:rPr>
                <w:sz w:val="18"/>
                <w:szCs w:val="18"/>
              </w:rPr>
              <w:t>严格查处地下水违规采用，规范机井建设审批管理，得2分。</w:t>
            </w:r>
          </w:p>
          <w:p>
            <w:pPr>
              <w:adjustRightInd w:val="0"/>
              <w:spacing w:line="240" w:lineRule="auto"/>
              <w:ind w:firstLine="360" w:firstLineChars="200"/>
              <w:rPr>
                <w:sz w:val="18"/>
                <w:szCs w:val="18"/>
              </w:rPr>
            </w:pPr>
            <w:r>
              <w:rPr>
                <w:sz w:val="18"/>
                <w:szCs w:val="18"/>
              </w:rPr>
              <w:t>各县没有按照“四个一”管理模式（一井一表、一井一证、一井一帐、一井一牌）规范地下水取水工程管理的，发现一例扣1分，扣完为止；根据《关于进一步加强全区水资源管理工作的通知》（宁水政发</w:t>
            </w:r>
            <w:r>
              <w:rPr>
                <w:rFonts w:hint="eastAsia"/>
                <w:sz w:val="18"/>
                <w:szCs w:val="18"/>
              </w:rPr>
              <w:t>〔2014〕</w:t>
            </w:r>
            <w:r>
              <w:rPr>
                <w:sz w:val="18"/>
                <w:szCs w:val="18"/>
              </w:rPr>
              <w:t>29号），没有及时对本级及所辖县（区）地下水取水许可审批情况报水利厅相关部门备案的，发现一例扣0.5分，扣完为止。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1" w:type="dxa"/>
            <w:vMerge w:val="continue"/>
            <w:tcMar>
              <w:left w:w="6" w:type="dxa"/>
              <w:right w:w="6" w:type="dxa"/>
            </w:tcMar>
            <w:vAlign w:val="center"/>
          </w:tcPr>
          <w:p>
            <w:pPr>
              <w:spacing w:line="240" w:lineRule="auto"/>
              <w:jc w:val="both"/>
              <w:rPr>
                <w:sz w:val="18"/>
                <w:szCs w:val="18"/>
              </w:rPr>
            </w:pPr>
          </w:p>
        </w:tc>
        <w:tc>
          <w:tcPr>
            <w:tcW w:w="423" w:type="dxa"/>
            <w:tcMar>
              <w:left w:w="6" w:type="dxa"/>
              <w:right w:w="6" w:type="dxa"/>
            </w:tcMar>
            <w:vAlign w:val="center"/>
          </w:tcPr>
          <w:p>
            <w:pPr>
              <w:spacing w:line="240" w:lineRule="auto"/>
              <w:jc w:val="both"/>
              <w:rPr>
                <w:sz w:val="18"/>
                <w:szCs w:val="18"/>
              </w:rPr>
            </w:pPr>
            <w:r>
              <w:rPr>
                <w:sz w:val="18"/>
                <w:szCs w:val="18"/>
              </w:rPr>
              <w:t>6</w:t>
            </w:r>
          </w:p>
        </w:tc>
        <w:tc>
          <w:tcPr>
            <w:tcW w:w="570" w:type="dxa"/>
            <w:tcMar>
              <w:left w:w="6" w:type="dxa"/>
              <w:right w:w="6" w:type="dxa"/>
            </w:tcMar>
            <w:vAlign w:val="center"/>
          </w:tcPr>
          <w:p>
            <w:pPr>
              <w:spacing w:line="240" w:lineRule="auto"/>
              <w:jc w:val="both"/>
              <w:rPr>
                <w:sz w:val="18"/>
                <w:szCs w:val="18"/>
              </w:rPr>
            </w:pPr>
            <w:r>
              <w:rPr>
                <w:sz w:val="18"/>
                <w:szCs w:val="18"/>
              </w:rPr>
              <w:t>强化</w:t>
            </w:r>
          </w:p>
          <w:p>
            <w:pPr>
              <w:spacing w:line="240" w:lineRule="auto"/>
              <w:jc w:val="both"/>
              <w:rPr>
                <w:sz w:val="18"/>
                <w:szCs w:val="18"/>
              </w:rPr>
            </w:pPr>
            <w:r>
              <w:rPr>
                <w:sz w:val="18"/>
                <w:szCs w:val="18"/>
              </w:rPr>
              <w:t>水资源</w:t>
            </w:r>
          </w:p>
          <w:p>
            <w:pPr>
              <w:spacing w:line="240" w:lineRule="auto"/>
              <w:jc w:val="both"/>
              <w:rPr>
                <w:sz w:val="18"/>
                <w:szCs w:val="18"/>
              </w:rPr>
            </w:pPr>
            <w:r>
              <w:rPr>
                <w:sz w:val="18"/>
                <w:szCs w:val="18"/>
              </w:rPr>
              <w:t>统一</w:t>
            </w:r>
          </w:p>
          <w:p>
            <w:pPr>
              <w:spacing w:line="240" w:lineRule="auto"/>
              <w:jc w:val="both"/>
              <w:rPr>
                <w:sz w:val="18"/>
                <w:szCs w:val="18"/>
              </w:rPr>
            </w:pPr>
            <w:r>
              <w:rPr>
                <w:sz w:val="18"/>
                <w:szCs w:val="18"/>
              </w:rPr>
              <w:t>调度</w:t>
            </w:r>
          </w:p>
        </w:tc>
        <w:tc>
          <w:tcPr>
            <w:tcW w:w="426" w:type="dxa"/>
            <w:tcMar>
              <w:left w:w="6" w:type="dxa"/>
              <w:right w:w="6" w:type="dxa"/>
            </w:tcMar>
            <w:vAlign w:val="center"/>
          </w:tcPr>
          <w:p>
            <w:pPr>
              <w:spacing w:line="240" w:lineRule="auto"/>
              <w:jc w:val="both"/>
              <w:rPr>
                <w:sz w:val="18"/>
                <w:szCs w:val="18"/>
              </w:rPr>
            </w:pPr>
            <w:r>
              <w:rPr>
                <w:sz w:val="18"/>
                <w:szCs w:val="18"/>
              </w:rPr>
              <w:t>5</w:t>
            </w:r>
          </w:p>
        </w:tc>
        <w:tc>
          <w:tcPr>
            <w:tcW w:w="3583" w:type="dxa"/>
            <w:tcMar>
              <w:left w:w="6" w:type="dxa"/>
              <w:right w:w="6" w:type="dxa"/>
            </w:tcMar>
            <w:vAlign w:val="center"/>
          </w:tcPr>
          <w:p>
            <w:pPr>
              <w:spacing w:line="240" w:lineRule="auto"/>
              <w:rPr>
                <w:sz w:val="18"/>
                <w:szCs w:val="18"/>
              </w:rPr>
            </w:pPr>
            <w:r>
              <w:rPr>
                <w:sz w:val="18"/>
                <w:szCs w:val="18"/>
              </w:rPr>
              <w:t>严格执行计划用水方案，严格控制用水总量。灌溉任务圆满完成，新增用水严格水资源论证制度，规范农民用水协会管理。</w:t>
            </w:r>
          </w:p>
        </w:tc>
        <w:tc>
          <w:tcPr>
            <w:tcW w:w="8345" w:type="dxa"/>
            <w:vAlign w:val="center"/>
          </w:tcPr>
          <w:p>
            <w:r>
              <w:rPr>
                <w:sz w:val="18"/>
                <w:szCs w:val="18"/>
              </w:rPr>
              <w:t>10</w:t>
            </w:r>
            <w:r>
              <w:rPr>
                <w:rFonts w:hint="eastAsia"/>
                <w:sz w:val="18"/>
                <w:szCs w:val="18"/>
              </w:rPr>
              <w:t>.</w:t>
            </w:r>
            <w:r>
              <w:rPr>
                <w:sz w:val="18"/>
                <w:szCs w:val="18"/>
              </w:rPr>
              <w:t>根据国家及自治区水资源统一调度方案，圆满完成年度灌溉目标任务，服从统一调度管理，各项措施落实，得5分。</w:t>
            </w:r>
          </w:p>
          <w:p>
            <w:pPr>
              <w:adjustRightInd w:val="0"/>
              <w:spacing w:line="240" w:lineRule="auto"/>
              <w:ind w:firstLine="360" w:firstLineChars="200"/>
              <w:rPr>
                <w:sz w:val="18"/>
                <w:szCs w:val="18"/>
              </w:rPr>
            </w:pPr>
            <w:r>
              <w:rPr>
                <w:sz w:val="18"/>
                <w:szCs w:val="18"/>
              </w:rPr>
              <w:t>县区年度用水总量超过计划的，扣1分，扣完为止；不服从统一调度管理，年度或阶段性灌溉任务未完成，发生群体性越级上访事件的，发生一次扣1分，扣完为止；新增用水项目不按规定申请开展水资源论证的，发现一例扣0.5分，扣完为止；农民用水协会运行不规范，灌溉、工程、财务、培训制度不健全的，每缺一项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1" w:type="dxa"/>
            <w:vMerge w:val="continue"/>
            <w:tcMar>
              <w:left w:w="6" w:type="dxa"/>
              <w:right w:w="6" w:type="dxa"/>
            </w:tcMar>
            <w:vAlign w:val="center"/>
          </w:tcPr>
          <w:p>
            <w:pPr>
              <w:spacing w:line="240" w:lineRule="auto"/>
              <w:jc w:val="both"/>
              <w:rPr>
                <w:sz w:val="18"/>
                <w:szCs w:val="18"/>
              </w:rPr>
            </w:pPr>
          </w:p>
        </w:tc>
        <w:tc>
          <w:tcPr>
            <w:tcW w:w="993" w:type="dxa"/>
            <w:gridSpan w:val="2"/>
            <w:tcMar>
              <w:left w:w="6" w:type="dxa"/>
              <w:right w:w="6" w:type="dxa"/>
            </w:tcMar>
            <w:vAlign w:val="center"/>
          </w:tcPr>
          <w:p>
            <w:pPr>
              <w:spacing w:line="240" w:lineRule="auto"/>
              <w:jc w:val="both"/>
              <w:rPr>
                <w:sz w:val="18"/>
                <w:szCs w:val="18"/>
              </w:rPr>
            </w:pPr>
            <w:r>
              <w:rPr>
                <w:sz w:val="18"/>
                <w:szCs w:val="18"/>
              </w:rPr>
              <w:t>小计</w:t>
            </w:r>
          </w:p>
        </w:tc>
        <w:tc>
          <w:tcPr>
            <w:tcW w:w="426" w:type="dxa"/>
            <w:tcMar>
              <w:left w:w="6" w:type="dxa"/>
              <w:right w:w="6" w:type="dxa"/>
            </w:tcMar>
            <w:vAlign w:val="center"/>
          </w:tcPr>
          <w:p>
            <w:pPr>
              <w:spacing w:line="240" w:lineRule="auto"/>
              <w:jc w:val="both"/>
              <w:rPr>
                <w:sz w:val="18"/>
                <w:szCs w:val="18"/>
              </w:rPr>
            </w:pPr>
            <w:r>
              <w:rPr>
                <w:sz w:val="18"/>
                <w:szCs w:val="18"/>
              </w:rPr>
              <w:t>28</w:t>
            </w:r>
          </w:p>
        </w:tc>
        <w:tc>
          <w:tcPr>
            <w:tcW w:w="3583" w:type="dxa"/>
            <w:tcMar>
              <w:left w:w="6" w:type="dxa"/>
              <w:right w:w="6" w:type="dxa"/>
            </w:tcMar>
            <w:vAlign w:val="center"/>
          </w:tcPr>
          <w:p>
            <w:pPr>
              <w:spacing w:line="240" w:lineRule="auto"/>
              <w:rPr>
                <w:sz w:val="18"/>
                <w:szCs w:val="18"/>
              </w:rPr>
            </w:pPr>
          </w:p>
        </w:tc>
        <w:tc>
          <w:tcPr>
            <w:tcW w:w="8345" w:type="dxa"/>
            <w:vAlign w:val="center"/>
          </w:tcPr>
          <w:p>
            <w:pPr>
              <w:adjustRightInd w:val="0"/>
              <w:spacing w:line="240" w:lineRule="auto"/>
              <w:ind w:firstLine="360" w:firstLineChars="20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3" w:hRule="atLeast"/>
          <w:jc w:val="center"/>
        </w:trPr>
        <w:tc>
          <w:tcPr>
            <w:tcW w:w="481" w:type="dxa"/>
            <w:vMerge w:val="restart"/>
            <w:tcMar>
              <w:left w:w="6" w:type="dxa"/>
              <w:right w:w="6" w:type="dxa"/>
            </w:tcMar>
            <w:vAlign w:val="center"/>
          </w:tcPr>
          <w:p>
            <w:pPr>
              <w:spacing w:line="240" w:lineRule="auto"/>
              <w:jc w:val="both"/>
              <w:rPr>
                <w:sz w:val="18"/>
                <w:szCs w:val="18"/>
              </w:rPr>
            </w:pPr>
            <w:r>
              <w:rPr>
                <w:sz w:val="18"/>
                <w:szCs w:val="18"/>
              </w:rPr>
              <w:t>用</w:t>
            </w:r>
          </w:p>
          <w:p>
            <w:pPr>
              <w:spacing w:line="240" w:lineRule="auto"/>
              <w:jc w:val="both"/>
              <w:rPr>
                <w:sz w:val="18"/>
                <w:szCs w:val="18"/>
              </w:rPr>
            </w:pPr>
          </w:p>
          <w:p>
            <w:pPr>
              <w:spacing w:line="240" w:lineRule="auto"/>
              <w:jc w:val="both"/>
              <w:rPr>
                <w:sz w:val="18"/>
                <w:szCs w:val="18"/>
              </w:rPr>
            </w:pPr>
            <w:r>
              <w:rPr>
                <w:sz w:val="18"/>
                <w:szCs w:val="18"/>
              </w:rPr>
              <w:t>水</w:t>
            </w:r>
          </w:p>
          <w:p>
            <w:pPr>
              <w:spacing w:line="240" w:lineRule="auto"/>
              <w:jc w:val="both"/>
              <w:rPr>
                <w:sz w:val="18"/>
                <w:szCs w:val="18"/>
              </w:rPr>
            </w:pPr>
          </w:p>
          <w:p>
            <w:pPr>
              <w:spacing w:line="240" w:lineRule="auto"/>
              <w:jc w:val="both"/>
              <w:rPr>
                <w:sz w:val="18"/>
                <w:szCs w:val="18"/>
              </w:rPr>
            </w:pPr>
            <w:r>
              <w:rPr>
                <w:sz w:val="18"/>
                <w:szCs w:val="18"/>
              </w:rPr>
              <w:t>效</w:t>
            </w:r>
          </w:p>
          <w:p>
            <w:pPr>
              <w:spacing w:line="240" w:lineRule="auto"/>
              <w:jc w:val="both"/>
              <w:rPr>
                <w:sz w:val="18"/>
                <w:szCs w:val="18"/>
              </w:rPr>
            </w:pPr>
          </w:p>
          <w:p>
            <w:pPr>
              <w:spacing w:line="240" w:lineRule="auto"/>
              <w:jc w:val="both"/>
              <w:rPr>
                <w:sz w:val="18"/>
                <w:szCs w:val="18"/>
              </w:rPr>
            </w:pPr>
            <w:r>
              <w:rPr>
                <w:sz w:val="18"/>
                <w:szCs w:val="18"/>
              </w:rPr>
              <w:t>率</w:t>
            </w:r>
          </w:p>
          <w:p>
            <w:pPr>
              <w:spacing w:line="240" w:lineRule="auto"/>
              <w:jc w:val="both"/>
              <w:rPr>
                <w:sz w:val="18"/>
                <w:szCs w:val="18"/>
              </w:rPr>
            </w:pPr>
          </w:p>
          <w:p>
            <w:r>
              <w:rPr>
                <w:sz w:val="18"/>
                <w:szCs w:val="18"/>
              </w:rPr>
              <w:t>控</w:t>
            </w:r>
          </w:p>
          <w:p>
            <w:pPr>
              <w:spacing w:line="240" w:lineRule="auto"/>
              <w:jc w:val="both"/>
              <w:rPr>
                <w:rFonts w:hint="eastAsia"/>
                <w:sz w:val="18"/>
                <w:szCs w:val="18"/>
              </w:rPr>
            </w:pPr>
          </w:p>
          <w:p/>
          <w:p>
            <w:pPr>
              <w:spacing w:line="240" w:lineRule="auto"/>
              <w:jc w:val="both"/>
              <w:rPr>
                <w:sz w:val="18"/>
                <w:szCs w:val="18"/>
              </w:rPr>
            </w:pPr>
            <w:r>
              <w:rPr>
                <w:sz w:val="18"/>
                <w:szCs w:val="18"/>
              </w:rPr>
              <w:t>制</w:t>
            </w:r>
          </w:p>
          <w:p>
            <w:pPr>
              <w:spacing w:line="240" w:lineRule="auto"/>
              <w:jc w:val="both"/>
              <w:rPr>
                <w:sz w:val="18"/>
                <w:szCs w:val="18"/>
              </w:rPr>
            </w:pPr>
          </w:p>
        </w:tc>
        <w:tc>
          <w:tcPr>
            <w:tcW w:w="423" w:type="dxa"/>
            <w:vMerge w:val="restart"/>
            <w:tcMar>
              <w:left w:w="6" w:type="dxa"/>
              <w:right w:w="6" w:type="dxa"/>
            </w:tcMar>
            <w:vAlign w:val="center"/>
          </w:tcPr>
          <w:p>
            <w:pPr>
              <w:spacing w:line="240" w:lineRule="auto"/>
              <w:jc w:val="both"/>
              <w:rPr>
                <w:sz w:val="18"/>
                <w:szCs w:val="18"/>
              </w:rPr>
            </w:pPr>
            <w:r>
              <w:rPr>
                <w:sz w:val="18"/>
                <w:szCs w:val="18"/>
              </w:rPr>
              <w:t>7</w:t>
            </w:r>
          </w:p>
        </w:tc>
        <w:tc>
          <w:tcPr>
            <w:tcW w:w="570" w:type="dxa"/>
            <w:vMerge w:val="restart"/>
            <w:tcMar>
              <w:left w:w="6" w:type="dxa"/>
              <w:right w:w="6" w:type="dxa"/>
            </w:tcMar>
            <w:vAlign w:val="center"/>
          </w:tcPr>
          <w:p>
            <w:pPr>
              <w:spacing w:line="240" w:lineRule="auto"/>
              <w:jc w:val="both"/>
              <w:rPr>
                <w:sz w:val="18"/>
                <w:szCs w:val="18"/>
              </w:rPr>
            </w:pPr>
            <w:r>
              <w:rPr>
                <w:sz w:val="18"/>
                <w:szCs w:val="18"/>
              </w:rPr>
              <w:t>全面</w:t>
            </w:r>
          </w:p>
          <w:p>
            <w:pPr>
              <w:spacing w:line="240" w:lineRule="auto"/>
              <w:jc w:val="both"/>
              <w:rPr>
                <w:sz w:val="18"/>
                <w:szCs w:val="18"/>
              </w:rPr>
            </w:pPr>
            <w:r>
              <w:rPr>
                <w:sz w:val="18"/>
                <w:szCs w:val="18"/>
              </w:rPr>
              <w:t>加强</w:t>
            </w:r>
          </w:p>
          <w:p>
            <w:pPr>
              <w:spacing w:line="240" w:lineRule="auto"/>
              <w:jc w:val="both"/>
              <w:rPr>
                <w:sz w:val="18"/>
                <w:szCs w:val="18"/>
              </w:rPr>
            </w:pPr>
            <w:r>
              <w:rPr>
                <w:sz w:val="18"/>
                <w:szCs w:val="18"/>
              </w:rPr>
              <w:t>节约</w:t>
            </w:r>
          </w:p>
          <w:p>
            <w:pPr>
              <w:spacing w:line="240" w:lineRule="auto"/>
              <w:jc w:val="both"/>
              <w:rPr>
                <w:sz w:val="18"/>
                <w:szCs w:val="18"/>
              </w:rPr>
            </w:pPr>
            <w:r>
              <w:rPr>
                <w:sz w:val="18"/>
                <w:szCs w:val="18"/>
              </w:rPr>
              <w:t>用水</w:t>
            </w:r>
          </w:p>
          <w:p>
            <w:pPr>
              <w:spacing w:line="240" w:lineRule="auto"/>
              <w:jc w:val="both"/>
              <w:rPr>
                <w:sz w:val="18"/>
                <w:szCs w:val="18"/>
              </w:rPr>
            </w:pPr>
            <w:r>
              <w:rPr>
                <w:sz w:val="18"/>
                <w:szCs w:val="18"/>
              </w:rPr>
              <w:t>管理</w:t>
            </w:r>
          </w:p>
        </w:tc>
        <w:tc>
          <w:tcPr>
            <w:tcW w:w="426" w:type="dxa"/>
            <w:vMerge w:val="restart"/>
            <w:tcMar>
              <w:left w:w="6" w:type="dxa"/>
              <w:right w:w="6" w:type="dxa"/>
            </w:tcMar>
            <w:vAlign w:val="center"/>
          </w:tcPr>
          <w:p>
            <w:pPr>
              <w:spacing w:line="240" w:lineRule="auto"/>
              <w:jc w:val="both"/>
              <w:rPr>
                <w:sz w:val="18"/>
                <w:szCs w:val="18"/>
              </w:rPr>
            </w:pPr>
            <w:r>
              <w:rPr>
                <w:sz w:val="18"/>
                <w:szCs w:val="18"/>
              </w:rPr>
              <w:t>6</w:t>
            </w:r>
          </w:p>
        </w:tc>
        <w:tc>
          <w:tcPr>
            <w:tcW w:w="3583" w:type="dxa"/>
            <w:vMerge w:val="restart"/>
            <w:tcMar>
              <w:left w:w="6" w:type="dxa"/>
              <w:right w:w="6" w:type="dxa"/>
            </w:tcMar>
            <w:vAlign w:val="center"/>
          </w:tcPr>
          <w:p>
            <w:pPr>
              <w:spacing w:line="240" w:lineRule="auto"/>
              <w:rPr>
                <w:sz w:val="18"/>
                <w:szCs w:val="18"/>
              </w:rPr>
            </w:pPr>
            <w:r>
              <w:rPr>
                <w:sz w:val="18"/>
                <w:szCs w:val="18"/>
              </w:rPr>
              <w:t>切实推进节水型社会建设，建立健全有利于节约用水的体制和机制；稳步推进水价改革；引水、调水、取水、供用水工程建设首先考虑节水要求；水资源短缺地区限制高耗水产业发展，遏制农业粗放用水。</w:t>
            </w:r>
          </w:p>
        </w:tc>
        <w:tc>
          <w:tcPr>
            <w:tcW w:w="8345" w:type="dxa"/>
            <w:vAlign w:val="center"/>
          </w:tcPr>
          <w:p>
            <w:r>
              <w:rPr>
                <w:sz w:val="18"/>
                <w:szCs w:val="18"/>
              </w:rPr>
              <w:t>11</w:t>
            </w:r>
            <w:r>
              <w:rPr>
                <w:rFonts w:hint="eastAsia"/>
                <w:sz w:val="18"/>
                <w:szCs w:val="18"/>
              </w:rPr>
              <w:t>.</w:t>
            </w:r>
            <w:r>
              <w:rPr>
                <w:sz w:val="18"/>
                <w:szCs w:val="18"/>
              </w:rPr>
              <w:t>推进水价改革，3分：</w:t>
            </w:r>
          </w:p>
          <w:p>
            <w:r>
              <w:rPr>
                <w:sz w:val="18"/>
                <w:szCs w:val="18"/>
              </w:rPr>
              <w:t>2015年12月底前实行居民阶梯水价制度的县级以上城市在全市的占比，以实施阶梯水价制度文件为评分依据，满分1分，按不同占比分档赋分。</w:t>
            </w:r>
          </w:p>
          <w:p>
            <w:r>
              <w:rPr>
                <w:sz w:val="18"/>
                <w:szCs w:val="18"/>
              </w:rPr>
              <w:t>对纳入取水许可管理范围的非居民用水实施超计划超定额累进加价的县级行政区在全市的占比，以实施文件为评分依据，满分1分，按不同占比分档赋分。</w:t>
            </w:r>
          </w:p>
          <w:p>
            <w:pPr>
              <w:adjustRightInd w:val="0"/>
              <w:spacing w:line="240" w:lineRule="auto"/>
              <w:ind w:firstLine="360" w:firstLineChars="200"/>
              <w:rPr>
                <w:color w:val="auto"/>
                <w:sz w:val="18"/>
                <w:szCs w:val="18"/>
              </w:rPr>
            </w:pPr>
            <w:r>
              <w:rPr>
                <w:sz w:val="18"/>
                <w:szCs w:val="18"/>
              </w:rPr>
              <w:t>对公共管网供水的非居民用水实施超计划超定额累进加价的县级行政区在全市的占比，以实施文件为评分依据，满分1分，按不同占比分档赋分。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481" w:type="dxa"/>
            <w:vMerge w:val="continue"/>
            <w:tcMar>
              <w:left w:w="6" w:type="dxa"/>
              <w:right w:w="6" w:type="dxa"/>
            </w:tcMar>
            <w:vAlign w:val="center"/>
          </w:tcPr>
          <w:p>
            <w:pPr>
              <w:spacing w:line="240" w:lineRule="auto"/>
              <w:jc w:val="both"/>
              <w:rPr>
                <w:sz w:val="18"/>
                <w:szCs w:val="18"/>
              </w:rPr>
            </w:pPr>
          </w:p>
        </w:tc>
        <w:tc>
          <w:tcPr>
            <w:tcW w:w="423" w:type="dxa"/>
            <w:vMerge w:val="continue"/>
            <w:tcMar>
              <w:left w:w="6" w:type="dxa"/>
              <w:right w:w="6" w:type="dxa"/>
            </w:tcMar>
            <w:vAlign w:val="center"/>
          </w:tcPr>
          <w:p>
            <w:pPr>
              <w:spacing w:line="240" w:lineRule="auto"/>
              <w:jc w:val="both"/>
              <w:rPr>
                <w:sz w:val="18"/>
                <w:szCs w:val="18"/>
              </w:rPr>
            </w:pPr>
          </w:p>
        </w:tc>
        <w:tc>
          <w:tcPr>
            <w:tcW w:w="570" w:type="dxa"/>
            <w:vMerge w:val="continue"/>
            <w:tcMar>
              <w:left w:w="6" w:type="dxa"/>
              <w:right w:w="6" w:type="dxa"/>
            </w:tcMar>
            <w:vAlign w:val="center"/>
          </w:tcPr>
          <w:p>
            <w:pPr>
              <w:spacing w:line="240" w:lineRule="auto"/>
              <w:jc w:val="both"/>
              <w:rPr>
                <w:sz w:val="18"/>
                <w:szCs w:val="18"/>
              </w:rPr>
            </w:pPr>
          </w:p>
        </w:tc>
        <w:tc>
          <w:tcPr>
            <w:tcW w:w="426" w:type="dxa"/>
            <w:vMerge w:val="continue"/>
            <w:tcMar>
              <w:left w:w="6" w:type="dxa"/>
              <w:right w:w="6" w:type="dxa"/>
            </w:tcMar>
            <w:vAlign w:val="center"/>
          </w:tcPr>
          <w:p>
            <w:pPr>
              <w:spacing w:line="240" w:lineRule="auto"/>
              <w:jc w:val="both"/>
              <w:rPr>
                <w:sz w:val="18"/>
                <w:szCs w:val="18"/>
              </w:rPr>
            </w:pPr>
          </w:p>
        </w:tc>
        <w:tc>
          <w:tcPr>
            <w:tcW w:w="3583" w:type="dxa"/>
            <w:vMerge w:val="continue"/>
            <w:tcMar>
              <w:left w:w="6" w:type="dxa"/>
              <w:right w:w="6" w:type="dxa"/>
            </w:tcMar>
            <w:vAlign w:val="center"/>
          </w:tcPr>
          <w:p>
            <w:pPr>
              <w:spacing w:line="240" w:lineRule="auto"/>
              <w:rPr>
                <w:sz w:val="18"/>
                <w:szCs w:val="18"/>
              </w:rPr>
            </w:pPr>
          </w:p>
        </w:tc>
        <w:tc>
          <w:tcPr>
            <w:tcW w:w="8345" w:type="dxa"/>
            <w:vAlign w:val="center"/>
          </w:tcPr>
          <w:p>
            <w:pPr>
              <w:adjustRightInd w:val="0"/>
              <w:spacing w:line="240" w:lineRule="auto"/>
              <w:ind w:firstLine="360" w:firstLineChars="200"/>
              <w:rPr>
                <w:color w:val="auto"/>
                <w:sz w:val="18"/>
                <w:szCs w:val="18"/>
              </w:rPr>
            </w:pPr>
            <w:r>
              <w:rPr>
                <w:color w:val="auto"/>
                <w:sz w:val="18"/>
                <w:szCs w:val="18"/>
              </w:rPr>
              <w:t>12</w:t>
            </w:r>
            <w:r>
              <w:rPr>
                <w:rFonts w:hint="eastAsia"/>
                <w:sz w:val="18"/>
                <w:szCs w:val="18"/>
              </w:rPr>
              <w:t>.</w:t>
            </w:r>
            <w:r>
              <w:rPr>
                <w:color w:val="auto"/>
                <w:sz w:val="18"/>
                <w:szCs w:val="18"/>
              </w:rPr>
              <w:t>把高耗水产业纳入已出台的禁止和限制发展产业目录，或制定出台高耗水产业禁止和限制目录，得1分。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81" w:type="dxa"/>
            <w:vMerge w:val="continue"/>
            <w:tcMar>
              <w:left w:w="6" w:type="dxa"/>
              <w:right w:w="6" w:type="dxa"/>
            </w:tcMar>
            <w:vAlign w:val="center"/>
          </w:tcPr>
          <w:p>
            <w:pPr>
              <w:spacing w:line="240" w:lineRule="auto"/>
              <w:jc w:val="both"/>
              <w:rPr>
                <w:sz w:val="18"/>
                <w:szCs w:val="18"/>
              </w:rPr>
            </w:pPr>
          </w:p>
        </w:tc>
        <w:tc>
          <w:tcPr>
            <w:tcW w:w="423" w:type="dxa"/>
            <w:vMerge w:val="continue"/>
            <w:tcMar>
              <w:left w:w="6" w:type="dxa"/>
              <w:right w:w="6" w:type="dxa"/>
            </w:tcMar>
            <w:vAlign w:val="center"/>
          </w:tcPr>
          <w:p>
            <w:pPr>
              <w:spacing w:line="240" w:lineRule="auto"/>
              <w:jc w:val="both"/>
              <w:rPr>
                <w:sz w:val="18"/>
                <w:szCs w:val="18"/>
              </w:rPr>
            </w:pPr>
          </w:p>
        </w:tc>
        <w:tc>
          <w:tcPr>
            <w:tcW w:w="570" w:type="dxa"/>
            <w:vMerge w:val="continue"/>
            <w:tcMar>
              <w:left w:w="6" w:type="dxa"/>
              <w:right w:w="6" w:type="dxa"/>
            </w:tcMar>
            <w:vAlign w:val="center"/>
          </w:tcPr>
          <w:p>
            <w:pPr>
              <w:spacing w:line="240" w:lineRule="auto"/>
              <w:jc w:val="both"/>
              <w:rPr>
                <w:sz w:val="18"/>
                <w:szCs w:val="18"/>
              </w:rPr>
            </w:pPr>
          </w:p>
        </w:tc>
        <w:tc>
          <w:tcPr>
            <w:tcW w:w="426" w:type="dxa"/>
            <w:vMerge w:val="continue"/>
            <w:tcMar>
              <w:left w:w="6" w:type="dxa"/>
              <w:right w:w="6" w:type="dxa"/>
            </w:tcMar>
            <w:vAlign w:val="center"/>
          </w:tcPr>
          <w:p>
            <w:pPr>
              <w:spacing w:line="240" w:lineRule="auto"/>
              <w:jc w:val="both"/>
              <w:rPr>
                <w:sz w:val="18"/>
                <w:szCs w:val="18"/>
              </w:rPr>
            </w:pPr>
          </w:p>
        </w:tc>
        <w:tc>
          <w:tcPr>
            <w:tcW w:w="3583" w:type="dxa"/>
            <w:vMerge w:val="continue"/>
            <w:tcMar>
              <w:left w:w="6" w:type="dxa"/>
              <w:right w:w="6" w:type="dxa"/>
            </w:tcMar>
            <w:vAlign w:val="center"/>
          </w:tcPr>
          <w:p>
            <w:pPr>
              <w:spacing w:line="240" w:lineRule="auto"/>
              <w:rPr>
                <w:sz w:val="18"/>
                <w:szCs w:val="18"/>
              </w:rPr>
            </w:pPr>
          </w:p>
        </w:tc>
        <w:tc>
          <w:tcPr>
            <w:tcW w:w="8345" w:type="dxa"/>
            <w:vAlign w:val="center"/>
          </w:tcPr>
          <w:p>
            <w:pPr>
              <w:adjustRightInd w:val="0"/>
              <w:spacing w:line="240" w:lineRule="auto"/>
              <w:ind w:firstLine="360" w:firstLineChars="200"/>
              <w:rPr>
                <w:color w:val="auto"/>
                <w:sz w:val="18"/>
                <w:szCs w:val="18"/>
              </w:rPr>
            </w:pPr>
            <w:r>
              <w:rPr>
                <w:color w:val="auto"/>
                <w:sz w:val="18"/>
                <w:szCs w:val="18"/>
              </w:rPr>
              <w:t>13</w:t>
            </w:r>
            <w:r>
              <w:rPr>
                <w:rFonts w:hint="eastAsia"/>
                <w:sz w:val="18"/>
                <w:szCs w:val="18"/>
              </w:rPr>
              <w:t>.</w:t>
            </w:r>
            <w:r>
              <w:rPr>
                <w:color w:val="auto"/>
                <w:sz w:val="18"/>
                <w:szCs w:val="18"/>
              </w:rPr>
              <w:t>节水灌溉工程面积占灌溉面积的比例，满分2分，北部引黄灌区、中部干旱带、南部山区根据不同标准分档赋分。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5" w:hRule="atLeast"/>
          <w:jc w:val="center"/>
        </w:trPr>
        <w:tc>
          <w:tcPr>
            <w:tcW w:w="481" w:type="dxa"/>
            <w:vMerge w:val="continue"/>
            <w:tcMar>
              <w:left w:w="6" w:type="dxa"/>
              <w:right w:w="6" w:type="dxa"/>
            </w:tcMar>
            <w:vAlign w:val="center"/>
          </w:tcPr>
          <w:p>
            <w:pPr>
              <w:spacing w:line="240" w:lineRule="auto"/>
              <w:jc w:val="both"/>
              <w:rPr>
                <w:sz w:val="18"/>
                <w:szCs w:val="18"/>
              </w:rPr>
            </w:pPr>
          </w:p>
        </w:tc>
        <w:tc>
          <w:tcPr>
            <w:tcW w:w="423" w:type="dxa"/>
            <w:vMerge w:val="restart"/>
            <w:tcMar>
              <w:left w:w="6" w:type="dxa"/>
              <w:right w:w="6" w:type="dxa"/>
            </w:tcMar>
            <w:vAlign w:val="center"/>
          </w:tcPr>
          <w:p>
            <w:pPr>
              <w:spacing w:line="240" w:lineRule="auto"/>
              <w:jc w:val="both"/>
              <w:rPr>
                <w:sz w:val="18"/>
                <w:szCs w:val="18"/>
              </w:rPr>
            </w:pPr>
            <w:r>
              <w:rPr>
                <w:sz w:val="18"/>
                <w:szCs w:val="18"/>
              </w:rPr>
              <w:t>8</w:t>
            </w:r>
          </w:p>
        </w:tc>
        <w:tc>
          <w:tcPr>
            <w:tcW w:w="570" w:type="dxa"/>
            <w:vMerge w:val="restart"/>
            <w:tcMar>
              <w:left w:w="6" w:type="dxa"/>
              <w:right w:w="6" w:type="dxa"/>
            </w:tcMar>
            <w:vAlign w:val="center"/>
          </w:tcPr>
          <w:p>
            <w:pPr>
              <w:spacing w:line="240" w:lineRule="auto"/>
              <w:jc w:val="both"/>
              <w:rPr>
                <w:sz w:val="18"/>
                <w:szCs w:val="18"/>
              </w:rPr>
            </w:pPr>
            <w:r>
              <w:rPr>
                <w:sz w:val="18"/>
                <w:szCs w:val="18"/>
              </w:rPr>
              <w:t>强化</w:t>
            </w:r>
          </w:p>
          <w:p>
            <w:pPr>
              <w:spacing w:line="240" w:lineRule="auto"/>
              <w:jc w:val="both"/>
              <w:rPr>
                <w:sz w:val="18"/>
                <w:szCs w:val="18"/>
              </w:rPr>
            </w:pPr>
            <w:r>
              <w:rPr>
                <w:sz w:val="18"/>
                <w:szCs w:val="18"/>
              </w:rPr>
              <w:t>用水</w:t>
            </w:r>
          </w:p>
          <w:p>
            <w:pPr>
              <w:spacing w:line="240" w:lineRule="auto"/>
              <w:jc w:val="both"/>
              <w:rPr>
                <w:sz w:val="18"/>
                <w:szCs w:val="18"/>
              </w:rPr>
            </w:pPr>
            <w:r>
              <w:rPr>
                <w:sz w:val="18"/>
                <w:szCs w:val="18"/>
              </w:rPr>
              <w:t>定额</w:t>
            </w:r>
          </w:p>
          <w:p>
            <w:pPr>
              <w:spacing w:line="240" w:lineRule="auto"/>
              <w:jc w:val="both"/>
              <w:rPr>
                <w:sz w:val="18"/>
                <w:szCs w:val="18"/>
              </w:rPr>
            </w:pPr>
            <w:r>
              <w:rPr>
                <w:sz w:val="18"/>
                <w:szCs w:val="18"/>
              </w:rPr>
              <w:t>管理</w:t>
            </w:r>
          </w:p>
        </w:tc>
        <w:tc>
          <w:tcPr>
            <w:tcW w:w="426" w:type="dxa"/>
            <w:vMerge w:val="restart"/>
            <w:tcMar>
              <w:left w:w="6" w:type="dxa"/>
              <w:right w:w="6" w:type="dxa"/>
            </w:tcMar>
            <w:vAlign w:val="center"/>
          </w:tcPr>
          <w:p>
            <w:pPr>
              <w:spacing w:line="240" w:lineRule="auto"/>
              <w:jc w:val="both"/>
              <w:rPr>
                <w:sz w:val="18"/>
                <w:szCs w:val="18"/>
              </w:rPr>
            </w:pPr>
            <w:r>
              <w:rPr>
                <w:sz w:val="18"/>
                <w:szCs w:val="18"/>
              </w:rPr>
              <w:t>6</w:t>
            </w:r>
          </w:p>
        </w:tc>
        <w:tc>
          <w:tcPr>
            <w:tcW w:w="3583" w:type="dxa"/>
            <w:vMerge w:val="restart"/>
            <w:tcMar>
              <w:left w:w="6" w:type="dxa"/>
              <w:right w:w="6" w:type="dxa"/>
            </w:tcMar>
            <w:vAlign w:val="center"/>
          </w:tcPr>
          <w:p>
            <w:pPr>
              <w:spacing w:line="240" w:lineRule="auto"/>
              <w:rPr>
                <w:sz w:val="18"/>
                <w:szCs w:val="18"/>
              </w:rPr>
            </w:pPr>
            <w:r>
              <w:rPr>
                <w:sz w:val="18"/>
                <w:szCs w:val="18"/>
              </w:rPr>
              <w:t>严格用水定额管理；强化用水监控管理，对纳入取水许可管理的单位和其他用水大户实行计划用水管理；实行节水“三同时”制度，对违反“三同时”制度的责令停止取用水并限期整改。</w:t>
            </w:r>
          </w:p>
        </w:tc>
        <w:tc>
          <w:tcPr>
            <w:tcW w:w="8345" w:type="dxa"/>
            <w:vAlign w:val="center"/>
          </w:tcPr>
          <w:p>
            <w:r>
              <w:rPr>
                <w:color w:val="auto"/>
                <w:sz w:val="18"/>
                <w:szCs w:val="18"/>
              </w:rPr>
              <w:t>14</w:t>
            </w:r>
            <w:r>
              <w:rPr>
                <w:rFonts w:hint="eastAsia"/>
                <w:sz w:val="18"/>
                <w:szCs w:val="18"/>
              </w:rPr>
              <w:t>.</w:t>
            </w:r>
            <w:r>
              <w:rPr>
                <w:color w:val="auto"/>
                <w:sz w:val="18"/>
                <w:szCs w:val="18"/>
              </w:rPr>
              <w:t>执行</w:t>
            </w:r>
            <w:r>
              <w:rPr>
                <w:sz w:val="18"/>
                <w:szCs w:val="18"/>
              </w:rPr>
              <w:t>计划用水管理制度，辖区内各级取用水户计划用水申请资料完备，按时下达计划用水，执行超计划累进加价制度，得</w:t>
            </w:r>
            <w:r>
              <w:rPr>
                <w:bCs w:val="0"/>
                <w:color w:val="auto"/>
                <w:sz w:val="18"/>
                <w:szCs w:val="18"/>
              </w:rPr>
              <w:t>4分。</w:t>
            </w:r>
          </w:p>
          <w:p>
            <w:pPr>
              <w:adjustRightInd w:val="0"/>
              <w:spacing w:line="240" w:lineRule="auto"/>
              <w:ind w:firstLine="360" w:firstLineChars="200"/>
              <w:rPr>
                <w:bCs w:val="0"/>
                <w:color w:val="auto"/>
                <w:sz w:val="18"/>
                <w:szCs w:val="18"/>
              </w:rPr>
            </w:pPr>
            <w:r>
              <w:rPr>
                <w:bCs w:val="0"/>
                <w:color w:val="auto"/>
                <w:sz w:val="18"/>
                <w:szCs w:val="18"/>
              </w:rPr>
              <w:t>取用水申请资料不完善，发现一例扣0.5分，扣完为止；计划用水文件未下达，发现一例扣0.5分，扣完为止；下达不及时，发现一例扣0.2分；超计划累进加价制度不执行，发现一例扣0.2分。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2" w:hRule="atLeast"/>
          <w:jc w:val="center"/>
        </w:trPr>
        <w:tc>
          <w:tcPr>
            <w:tcW w:w="481" w:type="dxa"/>
            <w:vMerge w:val="continue"/>
            <w:tcMar>
              <w:left w:w="6" w:type="dxa"/>
              <w:right w:w="6" w:type="dxa"/>
            </w:tcMar>
            <w:vAlign w:val="center"/>
          </w:tcPr>
          <w:p>
            <w:pPr>
              <w:spacing w:line="240" w:lineRule="auto"/>
              <w:jc w:val="both"/>
              <w:rPr>
                <w:sz w:val="18"/>
                <w:szCs w:val="18"/>
              </w:rPr>
            </w:pPr>
          </w:p>
        </w:tc>
        <w:tc>
          <w:tcPr>
            <w:tcW w:w="423" w:type="dxa"/>
            <w:vMerge w:val="continue"/>
            <w:tcMar>
              <w:left w:w="6" w:type="dxa"/>
              <w:right w:w="6" w:type="dxa"/>
            </w:tcMar>
            <w:vAlign w:val="center"/>
          </w:tcPr>
          <w:p>
            <w:pPr>
              <w:spacing w:line="240" w:lineRule="auto"/>
              <w:jc w:val="both"/>
              <w:rPr>
                <w:sz w:val="18"/>
                <w:szCs w:val="18"/>
              </w:rPr>
            </w:pPr>
          </w:p>
        </w:tc>
        <w:tc>
          <w:tcPr>
            <w:tcW w:w="570" w:type="dxa"/>
            <w:vMerge w:val="continue"/>
            <w:tcMar>
              <w:left w:w="6" w:type="dxa"/>
              <w:right w:w="6" w:type="dxa"/>
            </w:tcMar>
            <w:vAlign w:val="center"/>
          </w:tcPr>
          <w:p>
            <w:pPr>
              <w:spacing w:line="240" w:lineRule="auto"/>
              <w:jc w:val="both"/>
              <w:rPr>
                <w:sz w:val="18"/>
                <w:szCs w:val="18"/>
              </w:rPr>
            </w:pPr>
          </w:p>
        </w:tc>
        <w:tc>
          <w:tcPr>
            <w:tcW w:w="426" w:type="dxa"/>
            <w:vMerge w:val="continue"/>
            <w:tcMar>
              <w:left w:w="6" w:type="dxa"/>
              <w:right w:w="6" w:type="dxa"/>
            </w:tcMar>
            <w:vAlign w:val="center"/>
          </w:tcPr>
          <w:p>
            <w:pPr>
              <w:spacing w:line="240" w:lineRule="auto"/>
              <w:jc w:val="both"/>
              <w:rPr>
                <w:sz w:val="18"/>
                <w:szCs w:val="18"/>
              </w:rPr>
            </w:pPr>
          </w:p>
        </w:tc>
        <w:tc>
          <w:tcPr>
            <w:tcW w:w="3583" w:type="dxa"/>
            <w:vMerge w:val="continue"/>
            <w:tcMar>
              <w:left w:w="6" w:type="dxa"/>
              <w:right w:w="6" w:type="dxa"/>
            </w:tcMar>
            <w:vAlign w:val="center"/>
          </w:tcPr>
          <w:p>
            <w:pPr>
              <w:spacing w:line="240" w:lineRule="auto"/>
              <w:rPr>
                <w:sz w:val="18"/>
                <w:szCs w:val="18"/>
              </w:rPr>
            </w:pPr>
          </w:p>
        </w:tc>
        <w:tc>
          <w:tcPr>
            <w:tcW w:w="8345" w:type="dxa"/>
            <w:vAlign w:val="center"/>
          </w:tcPr>
          <w:p>
            <w:r>
              <w:rPr>
                <w:color w:val="auto"/>
                <w:sz w:val="18"/>
                <w:szCs w:val="18"/>
              </w:rPr>
              <w:t>15</w:t>
            </w:r>
            <w:r>
              <w:rPr>
                <w:rFonts w:hint="eastAsia"/>
                <w:sz w:val="18"/>
                <w:szCs w:val="18"/>
              </w:rPr>
              <w:t>.</w:t>
            </w:r>
            <w:r>
              <w:rPr>
                <w:color w:val="auto"/>
                <w:sz w:val="18"/>
                <w:szCs w:val="18"/>
              </w:rPr>
              <w:t>纳入取水许可管理的取用水户计量设施完善，用水单位监控数据准确、翔实且及时，得2分。</w:t>
            </w:r>
          </w:p>
          <w:p>
            <w:r>
              <w:rPr>
                <w:color w:val="auto"/>
                <w:sz w:val="18"/>
                <w:szCs w:val="18"/>
              </w:rPr>
              <w:t>计量设施监测水量占比在80%以上，得1分；在50%以上80%以下的，扣0.5分；在50%以下，此项不得分；</w:t>
            </w:r>
          </w:p>
          <w:p>
            <w:pPr>
              <w:adjustRightInd w:val="0"/>
              <w:spacing w:line="240" w:lineRule="auto"/>
              <w:ind w:firstLine="360" w:firstLineChars="200"/>
              <w:rPr>
                <w:color w:val="auto"/>
                <w:sz w:val="18"/>
                <w:szCs w:val="18"/>
              </w:rPr>
            </w:pPr>
            <w:r>
              <w:rPr>
                <w:color w:val="auto"/>
                <w:sz w:val="18"/>
                <w:szCs w:val="18"/>
              </w:rPr>
              <w:t>计量数据不准确的，扣0.5分。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81" w:type="dxa"/>
            <w:vMerge w:val="continue"/>
            <w:tcMar>
              <w:left w:w="6" w:type="dxa"/>
              <w:right w:w="6" w:type="dxa"/>
            </w:tcMar>
            <w:vAlign w:val="center"/>
          </w:tcPr>
          <w:p>
            <w:pPr>
              <w:spacing w:line="240" w:lineRule="auto"/>
              <w:jc w:val="both"/>
              <w:rPr>
                <w:sz w:val="18"/>
                <w:szCs w:val="18"/>
              </w:rPr>
            </w:pPr>
          </w:p>
        </w:tc>
        <w:tc>
          <w:tcPr>
            <w:tcW w:w="423" w:type="dxa"/>
            <w:vMerge w:val="restart"/>
            <w:tcMar>
              <w:left w:w="6" w:type="dxa"/>
              <w:right w:w="6" w:type="dxa"/>
            </w:tcMar>
            <w:vAlign w:val="center"/>
          </w:tcPr>
          <w:p>
            <w:pPr>
              <w:spacing w:line="240" w:lineRule="auto"/>
              <w:jc w:val="both"/>
              <w:rPr>
                <w:sz w:val="18"/>
                <w:szCs w:val="18"/>
              </w:rPr>
            </w:pPr>
            <w:r>
              <w:rPr>
                <w:sz w:val="18"/>
                <w:szCs w:val="18"/>
              </w:rPr>
              <w:t>9</w:t>
            </w:r>
          </w:p>
        </w:tc>
        <w:tc>
          <w:tcPr>
            <w:tcW w:w="570" w:type="dxa"/>
            <w:vMerge w:val="restart"/>
            <w:tcMar>
              <w:left w:w="6" w:type="dxa"/>
              <w:right w:w="6" w:type="dxa"/>
            </w:tcMar>
            <w:vAlign w:val="center"/>
          </w:tcPr>
          <w:p>
            <w:pPr>
              <w:spacing w:line="240" w:lineRule="auto"/>
              <w:jc w:val="both"/>
              <w:rPr>
                <w:sz w:val="18"/>
                <w:szCs w:val="18"/>
              </w:rPr>
            </w:pPr>
            <w:r>
              <w:rPr>
                <w:sz w:val="18"/>
                <w:szCs w:val="18"/>
              </w:rPr>
              <w:t>加快</w:t>
            </w:r>
          </w:p>
          <w:p>
            <w:pPr>
              <w:spacing w:line="240" w:lineRule="auto"/>
              <w:jc w:val="both"/>
              <w:rPr>
                <w:sz w:val="18"/>
                <w:szCs w:val="18"/>
              </w:rPr>
            </w:pPr>
            <w:r>
              <w:rPr>
                <w:sz w:val="18"/>
                <w:szCs w:val="18"/>
              </w:rPr>
              <w:t>推进</w:t>
            </w:r>
          </w:p>
          <w:p>
            <w:pPr>
              <w:spacing w:line="240" w:lineRule="auto"/>
              <w:jc w:val="both"/>
              <w:rPr>
                <w:sz w:val="18"/>
                <w:szCs w:val="18"/>
              </w:rPr>
            </w:pPr>
            <w:r>
              <w:rPr>
                <w:sz w:val="18"/>
                <w:szCs w:val="18"/>
              </w:rPr>
              <w:t>节水</w:t>
            </w:r>
          </w:p>
          <w:p>
            <w:pPr>
              <w:spacing w:line="240" w:lineRule="auto"/>
              <w:jc w:val="both"/>
              <w:rPr>
                <w:sz w:val="18"/>
                <w:szCs w:val="18"/>
              </w:rPr>
            </w:pPr>
            <w:r>
              <w:rPr>
                <w:sz w:val="18"/>
                <w:szCs w:val="18"/>
              </w:rPr>
              <w:t>技术</w:t>
            </w:r>
          </w:p>
          <w:p>
            <w:pPr>
              <w:spacing w:line="240" w:lineRule="auto"/>
              <w:jc w:val="both"/>
              <w:rPr>
                <w:sz w:val="18"/>
                <w:szCs w:val="18"/>
              </w:rPr>
            </w:pPr>
            <w:r>
              <w:rPr>
                <w:sz w:val="18"/>
                <w:szCs w:val="18"/>
              </w:rPr>
              <w:t>改造</w:t>
            </w:r>
          </w:p>
        </w:tc>
        <w:tc>
          <w:tcPr>
            <w:tcW w:w="426" w:type="dxa"/>
            <w:vMerge w:val="restart"/>
            <w:tcMar>
              <w:left w:w="6" w:type="dxa"/>
              <w:right w:w="6" w:type="dxa"/>
            </w:tcMar>
            <w:vAlign w:val="center"/>
          </w:tcPr>
          <w:p>
            <w:pPr>
              <w:spacing w:line="240" w:lineRule="auto"/>
              <w:jc w:val="both"/>
              <w:rPr>
                <w:sz w:val="18"/>
                <w:szCs w:val="18"/>
              </w:rPr>
            </w:pPr>
            <w:r>
              <w:rPr>
                <w:sz w:val="18"/>
                <w:szCs w:val="18"/>
              </w:rPr>
              <w:t>6</w:t>
            </w:r>
          </w:p>
        </w:tc>
        <w:tc>
          <w:tcPr>
            <w:tcW w:w="3583" w:type="dxa"/>
            <w:vMerge w:val="restart"/>
            <w:tcMar>
              <w:left w:w="6" w:type="dxa"/>
              <w:right w:w="6" w:type="dxa"/>
            </w:tcMar>
            <w:vAlign w:val="center"/>
          </w:tcPr>
          <w:p>
            <w:pPr>
              <w:spacing w:line="240" w:lineRule="auto"/>
              <w:rPr>
                <w:sz w:val="18"/>
                <w:szCs w:val="18"/>
              </w:rPr>
            </w:pPr>
            <w:r>
              <w:rPr>
                <w:sz w:val="18"/>
                <w:szCs w:val="18"/>
              </w:rPr>
              <w:t>严格执行节水强制性标准，禁止生产和销售不符合节水强制性标准的产品；加快推广先进适用的节水技术、工艺、装备和产品；加快推广农业、工业、生活节水技术改造力度；大力推广使用生活节水器具，着力降低供水管网漏损率；鼓励非常规水源开发利用，并纳入水资源统一配置。</w:t>
            </w:r>
          </w:p>
        </w:tc>
        <w:tc>
          <w:tcPr>
            <w:tcW w:w="8345" w:type="dxa"/>
            <w:vAlign w:val="center"/>
          </w:tcPr>
          <w:p>
            <w:pPr>
              <w:adjustRightInd w:val="0"/>
              <w:spacing w:line="240" w:lineRule="auto"/>
              <w:ind w:firstLine="360" w:firstLineChars="200"/>
              <w:rPr>
                <w:color w:val="auto"/>
                <w:sz w:val="18"/>
                <w:szCs w:val="18"/>
              </w:rPr>
            </w:pPr>
            <w:r>
              <w:rPr>
                <w:color w:val="auto"/>
                <w:sz w:val="18"/>
                <w:szCs w:val="18"/>
              </w:rPr>
              <w:t>16</w:t>
            </w:r>
            <w:r>
              <w:rPr>
                <w:rFonts w:hint="eastAsia"/>
                <w:sz w:val="18"/>
                <w:szCs w:val="18"/>
              </w:rPr>
              <w:t>.</w:t>
            </w:r>
            <w:r>
              <w:rPr>
                <w:color w:val="auto"/>
                <w:kern w:val="2"/>
                <w:sz w:val="18"/>
                <w:szCs w:val="18"/>
              </w:rPr>
              <w:t>全市公共供水管网漏损率控制在目标责任书指标以下，得1分，每高1个百分点扣0.2分，直至扣完。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1" w:type="dxa"/>
            <w:vMerge w:val="continue"/>
            <w:tcMar>
              <w:left w:w="6" w:type="dxa"/>
              <w:right w:w="6" w:type="dxa"/>
            </w:tcMar>
            <w:vAlign w:val="center"/>
          </w:tcPr>
          <w:p>
            <w:pPr>
              <w:spacing w:line="240" w:lineRule="auto"/>
              <w:jc w:val="both"/>
              <w:rPr>
                <w:sz w:val="18"/>
                <w:szCs w:val="18"/>
              </w:rPr>
            </w:pPr>
          </w:p>
        </w:tc>
        <w:tc>
          <w:tcPr>
            <w:tcW w:w="423" w:type="dxa"/>
            <w:vMerge w:val="continue"/>
            <w:tcMar>
              <w:left w:w="6" w:type="dxa"/>
              <w:right w:w="6" w:type="dxa"/>
            </w:tcMar>
            <w:vAlign w:val="center"/>
          </w:tcPr>
          <w:p>
            <w:pPr>
              <w:spacing w:line="240" w:lineRule="auto"/>
              <w:jc w:val="both"/>
              <w:rPr>
                <w:sz w:val="18"/>
                <w:szCs w:val="18"/>
              </w:rPr>
            </w:pPr>
          </w:p>
        </w:tc>
        <w:tc>
          <w:tcPr>
            <w:tcW w:w="570" w:type="dxa"/>
            <w:vMerge w:val="continue"/>
            <w:tcMar>
              <w:left w:w="6" w:type="dxa"/>
              <w:right w:w="6" w:type="dxa"/>
            </w:tcMar>
            <w:vAlign w:val="center"/>
          </w:tcPr>
          <w:p>
            <w:pPr>
              <w:spacing w:line="240" w:lineRule="auto"/>
              <w:jc w:val="both"/>
              <w:rPr>
                <w:sz w:val="18"/>
                <w:szCs w:val="18"/>
              </w:rPr>
            </w:pPr>
          </w:p>
        </w:tc>
        <w:tc>
          <w:tcPr>
            <w:tcW w:w="426" w:type="dxa"/>
            <w:vMerge w:val="continue"/>
            <w:tcMar>
              <w:left w:w="6" w:type="dxa"/>
              <w:right w:w="6" w:type="dxa"/>
            </w:tcMar>
            <w:vAlign w:val="center"/>
          </w:tcPr>
          <w:p>
            <w:pPr>
              <w:spacing w:line="240" w:lineRule="auto"/>
              <w:jc w:val="both"/>
              <w:rPr>
                <w:sz w:val="18"/>
                <w:szCs w:val="18"/>
              </w:rPr>
            </w:pPr>
          </w:p>
        </w:tc>
        <w:tc>
          <w:tcPr>
            <w:tcW w:w="3583" w:type="dxa"/>
            <w:vMerge w:val="continue"/>
            <w:tcMar>
              <w:left w:w="6" w:type="dxa"/>
              <w:right w:w="6" w:type="dxa"/>
            </w:tcMar>
            <w:vAlign w:val="center"/>
          </w:tcPr>
          <w:p>
            <w:pPr>
              <w:spacing w:line="240" w:lineRule="auto"/>
              <w:rPr>
                <w:sz w:val="18"/>
                <w:szCs w:val="18"/>
              </w:rPr>
            </w:pPr>
          </w:p>
        </w:tc>
        <w:tc>
          <w:tcPr>
            <w:tcW w:w="8345" w:type="dxa"/>
            <w:vAlign w:val="center"/>
          </w:tcPr>
          <w:p>
            <w:pPr>
              <w:adjustRightInd w:val="0"/>
              <w:spacing w:line="240" w:lineRule="auto"/>
              <w:ind w:firstLine="360" w:firstLineChars="200"/>
              <w:rPr>
                <w:color w:val="auto"/>
                <w:sz w:val="18"/>
                <w:szCs w:val="18"/>
              </w:rPr>
            </w:pPr>
            <w:r>
              <w:rPr>
                <w:color w:val="auto"/>
                <w:sz w:val="18"/>
                <w:szCs w:val="18"/>
              </w:rPr>
              <w:t>17</w:t>
            </w:r>
            <w:r>
              <w:rPr>
                <w:rFonts w:hint="eastAsia"/>
                <w:sz w:val="18"/>
                <w:szCs w:val="18"/>
              </w:rPr>
              <w:t>.</w:t>
            </w:r>
            <w:r>
              <w:rPr>
                <w:color w:val="auto"/>
                <w:sz w:val="18"/>
                <w:szCs w:val="18"/>
              </w:rPr>
              <w:t>公共机构节水型单位建成率（以正式文件为准），市、县两级机关分别达到</w:t>
            </w:r>
            <w:r>
              <w:rPr>
                <w:color w:val="auto"/>
                <w:kern w:val="2"/>
                <w:sz w:val="18"/>
                <w:szCs w:val="18"/>
              </w:rPr>
              <w:t>目标责任书指标</w:t>
            </w:r>
            <w:r>
              <w:rPr>
                <w:color w:val="auto"/>
                <w:sz w:val="18"/>
                <w:szCs w:val="18"/>
              </w:rPr>
              <w:t>，得2分；两项指标每项低1个百分点扣0.1分，直至扣完。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jc w:val="center"/>
        </w:trPr>
        <w:tc>
          <w:tcPr>
            <w:tcW w:w="481" w:type="dxa"/>
            <w:vMerge w:val="continue"/>
            <w:tcMar>
              <w:left w:w="6" w:type="dxa"/>
              <w:right w:w="6" w:type="dxa"/>
            </w:tcMar>
            <w:vAlign w:val="center"/>
          </w:tcPr>
          <w:p>
            <w:pPr>
              <w:spacing w:line="240" w:lineRule="auto"/>
              <w:jc w:val="both"/>
              <w:rPr>
                <w:sz w:val="18"/>
                <w:szCs w:val="18"/>
              </w:rPr>
            </w:pPr>
          </w:p>
        </w:tc>
        <w:tc>
          <w:tcPr>
            <w:tcW w:w="423" w:type="dxa"/>
            <w:vMerge w:val="continue"/>
            <w:tcMar>
              <w:left w:w="6" w:type="dxa"/>
              <w:right w:w="6" w:type="dxa"/>
            </w:tcMar>
            <w:vAlign w:val="center"/>
          </w:tcPr>
          <w:p>
            <w:pPr>
              <w:spacing w:line="240" w:lineRule="auto"/>
              <w:jc w:val="both"/>
              <w:rPr>
                <w:sz w:val="18"/>
                <w:szCs w:val="18"/>
              </w:rPr>
            </w:pPr>
          </w:p>
        </w:tc>
        <w:tc>
          <w:tcPr>
            <w:tcW w:w="570" w:type="dxa"/>
            <w:vMerge w:val="continue"/>
            <w:tcMar>
              <w:left w:w="6" w:type="dxa"/>
              <w:right w:w="6" w:type="dxa"/>
            </w:tcMar>
            <w:vAlign w:val="center"/>
          </w:tcPr>
          <w:p>
            <w:pPr>
              <w:spacing w:line="240" w:lineRule="auto"/>
              <w:jc w:val="both"/>
              <w:rPr>
                <w:sz w:val="18"/>
                <w:szCs w:val="18"/>
              </w:rPr>
            </w:pPr>
          </w:p>
        </w:tc>
        <w:tc>
          <w:tcPr>
            <w:tcW w:w="426" w:type="dxa"/>
            <w:vMerge w:val="continue"/>
            <w:tcMar>
              <w:left w:w="6" w:type="dxa"/>
              <w:right w:w="6" w:type="dxa"/>
            </w:tcMar>
            <w:vAlign w:val="center"/>
          </w:tcPr>
          <w:p>
            <w:pPr>
              <w:spacing w:line="240" w:lineRule="auto"/>
              <w:jc w:val="both"/>
              <w:rPr>
                <w:sz w:val="18"/>
                <w:szCs w:val="18"/>
              </w:rPr>
            </w:pPr>
          </w:p>
        </w:tc>
        <w:tc>
          <w:tcPr>
            <w:tcW w:w="3583" w:type="dxa"/>
            <w:vMerge w:val="continue"/>
            <w:tcMar>
              <w:left w:w="6" w:type="dxa"/>
              <w:right w:w="6" w:type="dxa"/>
            </w:tcMar>
            <w:vAlign w:val="center"/>
          </w:tcPr>
          <w:p>
            <w:pPr>
              <w:spacing w:line="240" w:lineRule="auto"/>
              <w:rPr>
                <w:sz w:val="18"/>
                <w:szCs w:val="18"/>
              </w:rPr>
            </w:pPr>
          </w:p>
        </w:tc>
        <w:tc>
          <w:tcPr>
            <w:tcW w:w="8345" w:type="dxa"/>
            <w:vAlign w:val="center"/>
          </w:tcPr>
          <w:p>
            <w:pPr>
              <w:adjustRightInd w:val="0"/>
              <w:spacing w:line="240" w:lineRule="auto"/>
              <w:ind w:firstLine="360" w:firstLineChars="200"/>
              <w:rPr>
                <w:color w:val="auto"/>
                <w:sz w:val="18"/>
                <w:szCs w:val="18"/>
              </w:rPr>
            </w:pPr>
            <w:r>
              <w:rPr>
                <w:color w:val="auto"/>
                <w:sz w:val="18"/>
                <w:szCs w:val="18"/>
              </w:rPr>
              <w:t>18</w:t>
            </w:r>
            <w:r>
              <w:rPr>
                <w:rFonts w:hint="eastAsia"/>
                <w:sz w:val="18"/>
                <w:szCs w:val="18"/>
              </w:rPr>
              <w:t>.</w:t>
            </w:r>
            <w:r>
              <w:rPr>
                <w:color w:val="auto"/>
                <w:sz w:val="18"/>
                <w:szCs w:val="18"/>
              </w:rPr>
              <w:t>规模以上工业企业节水型企业建成率（以正式文件为准）、工业用水重复利用率达到</w:t>
            </w:r>
            <w:r>
              <w:rPr>
                <w:color w:val="auto"/>
                <w:kern w:val="2"/>
                <w:sz w:val="18"/>
                <w:szCs w:val="18"/>
              </w:rPr>
              <w:t>目标责任书指标</w:t>
            </w:r>
            <w:r>
              <w:rPr>
                <w:color w:val="auto"/>
                <w:sz w:val="18"/>
                <w:szCs w:val="18"/>
              </w:rPr>
              <w:t>，得2分，两项指标每项低1个百分点扣0.1分，直至扣完。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jc w:val="center"/>
        </w:trPr>
        <w:tc>
          <w:tcPr>
            <w:tcW w:w="481" w:type="dxa"/>
            <w:vMerge w:val="continue"/>
            <w:tcMar>
              <w:left w:w="6" w:type="dxa"/>
              <w:right w:w="6" w:type="dxa"/>
            </w:tcMar>
            <w:vAlign w:val="center"/>
          </w:tcPr>
          <w:p>
            <w:pPr>
              <w:spacing w:line="240" w:lineRule="auto"/>
              <w:jc w:val="both"/>
              <w:rPr>
                <w:sz w:val="18"/>
                <w:szCs w:val="18"/>
              </w:rPr>
            </w:pPr>
          </w:p>
        </w:tc>
        <w:tc>
          <w:tcPr>
            <w:tcW w:w="423" w:type="dxa"/>
            <w:vMerge w:val="continue"/>
            <w:tcMar>
              <w:left w:w="6" w:type="dxa"/>
              <w:right w:w="6" w:type="dxa"/>
            </w:tcMar>
            <w:vAlign w:val="center"/>
          </w:tcPr>
          <w:p>
            <w:pPr>
              <w:spacing w:line="240" w:lineRule="auto"/>
              <w:jc w:val="both"/>
              <w:rPr>
                <w:sz w:val="18"/>
                <w:szCs w:val="18"/>
              </w:rPr>
            </w:pPr>
          </w:p>
        </w:tc>
        <w:tc>
          <w:tcPr>
            <w:tcW w:w="570" w:type="dxa"/>
            <w:vMerge w:val="continue"/>
            <w:tcMar>
              <w:left w:w="6" w:type="dxa"/>
              <w:right w:w="6" w:type="dxa"/>
            </w:tcMar>
            <w:vAlign w:val="center"/>
          </w:tcPr>
          <w:p>
            <w:pPr>
              <w:spacing w:line="240" w:lineRule="auto"/>
              <w:jc w:val="both"/>
              <w:rPr>
                <w:sz w:val="18"/>
                <w:szCs w:val="18"/>
              </w:rPr>
            </w:pPr>
          </w:p>
        </w:tc>
        <w:tc>
          <w:tcPr>
            <w:tcW w:w="426" w:type="dxa"/>
            <w:vMerge w:val="continue"/>
            <w:tcMar>
              <w:left w:w="6" w:type="dxa"/>
              <w:right w:w="6" w:type="dxa"/>
            </w:tcMar>
            <w:vAlign w:val="center"/>
          </w:tcPr>
          <w:p>
            <w:pPr>
              <w:spacing w:line="240" w:lineRule="auto"/>
              <w:jc w:val="both"/>
              <w:rPr>
                <w:sz w:val="18"/>
                <w:szCs w:val="18"/>
              </w:rPr>
            </w:pPr>
          </w:p>
        </w:tc>
        <w:tc>
          <w:tcPr>
            <w:tcW w:w="3583" w:type="dxa"/>
            <w:vMerge w:val="continue"/>
            <w:tcMar>
              <w:left w:w="6" w:type="dxa"/>
              <w:right w:w="6" w:type="dxa"/>
            </w:tcMar>
            <w:vAlign w:val="center"/>
          </w:tcPr>
          <w:p>
            <w:pPr>
              <w:spacing w:line="240" w:lineRule="auto"/>
              <w:rPr>
                <w:sz w:val="18"/>
                <w:szCs w:val="18"/>
              </w:rPr>
            </w:pPr>
          </w:p>
        </w:tc>
        <w:tc>
          <w:tcPr>
            <w:tcW w:w="8345" w:type="dxa"/>
            <w:vAlign w:val="center"/>
          </w:tcPr>
          <w:p>
            <w:pPr>
              <w:adjustRightInd w:val="0"/>
              <w:spacing w:line="240" w:lineRule="auto"/>
              <w:ind w:firstLine="360" w:firstLineChars="200"/>
              <w:rPr>
                <w:sz w:val="18"/>
                <w:szCs w:val="18"/>
              </w:rPr>
            </w:pPr>
            <w:r>
              <w:rPr>
                <w:sz w:val="18"/>
                <w:szCs w:val="18"/>
              </w:rPr>
              <w:t>19</w:t>
            </w:r>
            <w:r>
              <w:rPr>
                <w:rFonts w:hint="eastAsia"/>
                <w:sz w:val="18"/>
                <w:szCs w:val="18"/>
              </w:rPr>
              <w:t>.</w:t>
            </w:r>
            <w:r>
              <w:rPr>
                <w:sz w:val="18"/>
                <w:szCs w:val="18"/>
              </w:rPr>
              <w:t>再生水回用率达到</w:t>
            </w:r>
            <w:r>
              <w:rPr>
                <w:color w:val="auto"/>
                <w:kern w:val="2"/>
                <w:sz w:val="18"/>
                <w:szCs w:val="18"/>
              </w:rPr>
              <w:t>目标责任书指标</w:t>
            </w:r>
            <w:r>
              <w:rPr>
                <w:sz w:val="18"/>
                <w:szCs w:val="18"/>
              </w:rPr>
              <w:t>得1分，</w:t>
            </w:r>
            <w:r>
              <w:rPr>
                <w:color w:val="auto"/>
                <w:kern w:val="2"/>
                <w:sz w:val="18"/>
                <w:szCs w:val="18"/>
              </w:rPr>
              <w:t>每低1个百分点扣0.2分，直至扣完。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1" w:type="dxa"/>
            <w:vMerge w:val="continue"/>
            <w:tcMar>
              <w:left w:w="6" w:type="dxa"/>
              <w:right w:w="6" w:type="dxa"/>
            </w:tcMar>
            <w:vAlign w:val="center"/>
          </w:tcPr>
          <w:p>
            <w:pPr>
              <w:spacing w:line="240" w:lineRule="auto"/>
              <w:jc w:val="both"/>
              <w:rPr>
                <w:sz w:val="18"/>
                <w:szCs w:val="18"/>
              </w:rPr>
            </w:pPr>
          </w:p>
        </w:tc>
        <w:tc>
          <w:tcPr>
            <w:tcW w:w="993" w:type="dxa"/>
            <w:gridSpan w:val="2"/>
            <w:tcMar>
              <w:left w:w="6" w:type="dxa"/>
              <w:right w:w="6" w:type="dxa"/>
            </w:tcMar>
            <w:vAlign w:val="center"/>
          </w:tcPr>
          <w:p>
            <w:pPr>
              <w:spacing w:line="240" w:lineRule="auto"/>
              <w:jc w:val="both"/>
              <w:rPr>
                <w:sz w:val="18"/>
                <w:szCs w:val="18"/>
              </w:rPr>
            </w:pPr>
            <w:r>
              <w:rPr>
                <w:sz w:val="18"/>
                <w:szCs w:val="18"/>
              </w:rPr>
              <w:t>小计</w:t>
            </w:r>
          </w:p>
        </w:tc>
        <w:tc>
          <w:tcPr>
            <w:tcW w:w="426" w:type="dxa"/>
            <w:tcMar>
              <w:left w:w="6" w:type="dxa"/>
              <w:right w:w="6" w:type="dxa"/>
            </w:tcMar>
            <w:vAlign w:val="center"/>
          </w:tcPr>
          <w:p>
            <w:pPr>
              <w:spacing w:line="240" w:lineRule="auto"/>
              <w:jc w:val="both"/>
              <w:rPr>
                <w:sz w:val="18"/>
                <w:szCs w:val="18"/>
              </w:rPr>
            </w:pPr>
            <w:r>
              <w:rPr>
                <w:sz w:val="18"/>
                <w:szCs w:val="18"/>
              </w:rPr>
              <w:t>18</w:t>
            </w:r>
          </w:p>
        </w:tc>
        <w:tc>
          <w:tcPr>
            <w:tcW w:w="3583" w:type="dxa"/>
            <w:tcMar>
              <w:left w:w="6" w:type="dxa"/>
              <w:right w:w="6" w:type="dxa"/>
            </w:tcMar>
            <w:vAlign w:val="center"/>
          </w:tcPr>
          <w:p>
            <w:pPr>
              <w:spacing w:line="240" w:lineRule="auto"/>
              <w:rPr>
                <w:sz w:val="18"/>
                <w:szCs w:val="18"/>
              </w:rPr>
            </w:pPr>
          </w:p>
        </w:tc>
        <w:tc>
          <w:tcPr>
            <w:tcW w:w="8345" w:type="dxa"/>
            <w:vAlign w:val="center"/>
          </w:tcPr>
          <w:p>
            <w:pPr>
              <w:adjustRightInd w:val="0"/>
              <w:spacing w:line="240" w:lineRule="auto"/>
              <w:ind w:firstLine="360" w:firstLineChars="200"/>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1" w:type="dxa"/>
            <w:vMerge w:val="restart"/>
            <w:tcMar>
              <w:left w:w="6" w:type="dxa"/>
              <w:right w:w="6" w:type="dxa"/>
            </w:tcMar>
            <w:vAlign w:val="center"/>
          </w:tcPr>
          <w:p>
            <w:pPr>
              <w:spacing w:line="240" w:lineRule="auto"/>
              <w:jc w:val="both"/>
              <w:rPr>
                <w:rFonts w:hint="eastAsia"/>
                <w:sz w:val="18"/>
                <w:szCs w:val="18"/>
              </w:rPr>
            </w:pPr>
            <w:r>
              <w:rPr>
                <w:rFonts w:hint="eastAsia"/>
                <w:sz w:val="18"/>
                <w:szCs w:val="18"/>
              </w:rPr>
              <w:t>水</w:t>
            </w:r>
          </w:p>
          <w:p>
            <w:pPr>
              <w:spacing w:line="240" w:lineRule="auto"/>
              <w:jc w:val="both"/>
              <w:rPr>
                <w:rFonts w:hint="eastAsia"/>
                <w:sz w:val="18"/>
                <w:szCs w:val="18"/>
              </w:rPr>
            </w:pPr>
          </w:p>
          <w:p>
            <w:pPr>
              <w:spacing w:line="240" w:lineRule="auto"/>
              <w:jc w:val="both"/>
              <w:rPr>
                <w:sz w:val="18"/>
                <w:szCs w:val="18"/>
              </w:rPr>
            </w:pPr>
            <w:r>
              <w:rPr>
                <w:sz w:val="18"/>
                <w:szCs w:val="18"/>
              </w:rPr>
              <w:t>功</w:t>
            </w:r>
          </w:p>
          <w:p>
            <w:pPr>
              <w:spacing w:line="240" w:lineRule="auto"/>
              <w:jc w:val="both"/>
              <w:rPr>
                <w:sz w:val="18"/>
                <w:szCs w:val="18"/>
              </w:rPr>
            </w:pPr>
          </w:p>
          <w:p>
            <w:pPr>
              <w:spacing w:line="240" w:lineRule="auto"/>
              <w:jc w:val="both"/>
              <w:rPr>
                <w:sz w:val="18"/>
                <w:szCs w:val="18"/>
              </w:rPr>
            </w:pPr>
            <w:r>
              <w:rPr>
                <w:sz w:val="18"/>
                <w:szCs w:val="18"/>
              </w:rPr>
              <w:t>能</w:t>
            </w:r>
          </w:p>
          <w:p>
            <w:pPr>
              <w:spacing w:line="240" w:lineRule="auto"/>
              <w:jc w:val="both"/>
              <w:rPr>
                <w:sz w:val="18"/>
                <w:szCs w:val="18"/>
              </w:rPr>
            </w:pPr>
          </w:p>
          <w:p>
            <w:pPr>
              <w:spacing w:line="240" w:lineRule="auto"/>
              <w:jc w:val="both"/>
              <w:rPr>
                <w:sz w:val="18"/>
                <w:szCs w:val="18"/>
              </w:rPr>
            </w:pPr>
            <w:r>
              <w:rPr>
                <w:sz w:val="18"/>
                <w:szCs w:val="18"/>
              </w:rPr>
              <w:t>区</w:t>
            </w:r>
          </w:p>
          <w:p>
            <w:pPr>
              <w:spacing w:line="240" w:lineRule="auto"/>
              <w:jc w:val="both"/>
              <w:rPr>
                <w:sz w:val="18"/>
                <w:szCs w:val="18"/>
              </w:rPr>
            </w:pPr>
          </w:p>
          <w:p>
            <w:pPr>
              <w:spacing w:line="240" w:lineRule="auto"/>
              <w:jc w:val="both"/>
              <w:rPr>
                <w:sz w:val="18"/>
                <w:szCs w:val="18"/>
              </w:rPr>
            </w:pPr>
            <w:r>
              <w:rPr>
                <w:sz w:val="18"/>
                <w:szCs w:val="18"/>
              </w:rPr>
              <w:t>限</w:t>
            </w:r>
          </w:p>
          <w:p>
            <w:pPr>
              <w:spacing w:line="240" w:lineRule="auto"/>
              <w:jc w:val="both"/>
              <w:rPr>
                <w:sz w:val="18"/>
                <w:szCs w:val="18"/>
              </w:rPr>
            </w:pPr>
          </w:p>
          <w:p>
            <w:pPr>
              <w:spacing w:line="240" w:lineRule="auto"/>
              <w:jc w:val="both"/>
              <w:rPr>
                <w:sz w:val="18"/>
                <w:szCs w:val="18"/>
              </w:rPr>
            </w:pPr>
            <w:r>
              <w:rPr>
                <w:sz w:val="18"/>
                <w:szCs w:val="18"/>
              </w:rPr>
              <w:t>制</w:t>
            </w:r>
          </w:p>
          <w:p>
            <w:pPr>
              <w:spacing w:line="240" w:lineRule="auto"/>
              <w:jc w:val="both"/>
              <w:rPr>
                <w:sz w:val="18"/>
                <w:szCs w:val="18"/>
              </w:rPr>
            </w:pPr>
          </w:p>
          <w:p>
            <w:pPr>
              <w:spacing w:line="240" w:lineRule="auto"/>
              <w:jc w:val="both"/>
              <w:rPr>
                <w:sz w:val="18"/>
                <w:szCs w:val="18"/>
              </w:rPr>
            </w:pPr>
            <w:r>
              <w:rPr>
                <w:sz w:val="18"/>
                <w:szCs w:val="18"/>
              </w:rPr>
              <w:t>纳</w:t>
            </w:r>
          </w:p>
          <w:p>
            <w:pPr>
              <w:spacing w:line="240" w:lineRule="auto"/>
              <w:jc w:val="both"/>
              <w:rPr>
                <w:sz w:val="18"/>
                <w:szCs w:val="18"/>
              </w:rPr>
            </w:pPr>
          </w:p>
          <w:p>
            <w:pPr>
              <w:spacing w:line="240" w:lineRule="auto"/>
              <w:jc w:val="both"/>
              <w:rPr>
                <w:sz w:val="18"/>
                <w:szCs w:val="18"/>
              </w:rPr>
            </w:pPr>
            <w:r>
              <w:rPr>
                <w:sz w:val="18"/>
                <w:szCs w:val="18"/>
              </w:rPr>
              <w:t>污</w:t>
            </w:r>
          </w:p>
        </w:tc>
        <w:tc>
          <w:tcPr>
            <w:tcW w:w="423" w:type="dxa"/>
            <w:vMerge w:val="restart"/>
            <w:tcMar>
              <w:left w:w="6" w:type="dxa"/>
              <w:right w:w="6" w:type="dxa"/>
            </w:tcMar>
            <w:vAlign w:val="center"/>
          </w:tcPr>
          <w:p>
            <w:pPr>
              <w:spacing w:line="240" w:lineRule="auto"/>
              <w:jc w:val="both"/>
              <w:rPr>
                <w:sz w:val="18"/>
                <w:szCs w:val="18"/>
              </w:rPr>
            </w:pPr>
            <w:r>
              <w:rPr>
                <w:sz w:val="18"/>
                <w:szCs w:val="18"/>
              </w:rPr>
              <w:t>10</w:t>
            </w:r>
          </w:p>
        </w:tc>
        <w:tc>
          <w:tcPr>
            <w:tcW w:w="570" w:type="dxa"/>
            <w:vMerge w:val="restart"/>
            <w:tcMar>
              <w:left w:w="6" w:type="dxa"/>
              <w:right w:w="6" w:type="dxa"/>
            </w:tcMar>
            <w:vAlign w:val="center"/>
          </w:tcPr>
          <w:p>
            <w:pPr>
              <w:spacing w:line="240" w:lineRule="auto"/>
              <w:jc w:val="both"/>
              <w:rPr>
                <w:sz w:val="18"/>
                <w:szCs w:val="18"/>
              </w:rPr>
            </w:pPr>
            <w:r>
              <w:rPr>
                <w:sz w:val="18"/>
                <w:szCs w:val="18"/>
              </w:rPr>
              <w:t>严格</w:t>
            </w:r>
          </w:p>
          <w:p>
            <w:pPr>
              <w:spacing w:line="240" w:lineRule="auto"/>
              <w:jc w:val="both"/>
              <w:rPr>
                <w:sz w:val="18"/>
                <w:szCs w:val="18"/>
              </w:rPr>
            </w:pPr>
            <w:r>
              <w:rPr>
                <w:sz w:val="18"/>
                <w:szCs w:val="18"/>
              </w:rPr>
              <w:t>水功</w:t>
            </w:r>
          </w:p>
          <w:p>
            <w:pPr>
              <w:spacing w:line="240" w:lineRule="auto"/>
              <w:jc w:val="both"/>
              <w:rPr>
                <w:sz w:val="18"/>
                <w:szCs w:val="18"/>
              </w:rPr>
            </w:pPr>
            <w:r>
              <w:rPr>
                <w:sz w:val="18"/>
                <w:szCs w:val="18"/>
              </w:rPr>
              <w:t>能区</w:t>
            </w:r>
          </w:p>
          <w:p>
            <w:pPr>
              <w:spacing w:line="240" w:lineRule="auto"/>
              <w:jc w:val="both"/>
              <w:rPr>
                <w:sz w:val="18"/>
                <w:szCs w:val="18"/>
              </w:rPr>
            </w:pPr>
            <w:r>
              <w:rPr>
                <w:sz w:val="18"/>
                <w:szCs w:val="18"/>
              </w:rPr>
              <w:t>监督</w:t>
            </w:r>
          </w:p>
          <w:p>
            <w:pPr>
              <w:spacing w:line="240" w:lineRule="auto"/>
              <w:jc w:val="both"/>
              <w:rPr>
                <w:sz w:val="18"/>
                <w:szCs w:val="18"/>
              </w:rPr>
            </w:pPr>
            <w:r>
              <w:rPr>
                <w:sz w:val="18"/>
                <w:szCs w:val="18"/>
              </w:rPr>
              <w:t>管理</w:t>
            </w:r>
          </w:p>
        </w:tc>
        <w:tc>
          <w:tcPr>
            <w:tcW w:w="426" w:type="dxa"/>
            <w:vMerge w:val="restart"/>
            <w:tcMar>
              <w:left w:w="6" w:type="dxa"/>
              <w:right w:w="6" w:type="dxa"/>
            </w:tcMar>
            <w:vAlign w:val="center"/>
          </w:tcPr>
          <w:p>
            <w:pPr>
              <w:spacing w:line="240" w:lineRule="auto"/>
              <w:jc w:val="both"/>
              <w:rPr>
                <w:sz w:val="18"/>
                <w:szCs w:val="18"/>
              </w:rPr>
            </w:pPr>
            <w:r>
              <w:rPr>
                <w:sz w:val="18"/>
                <w:szCs w:val="18"/>
              </w:rPr>
              <w:t>8</w:t>
            </w:r>
          </w:p>
        </w:tc>
        <w:tc>
          <w:tcPr>
            <w:tcW w:w="3583" w:type="dxa"/>
            <w:vMerge w:val="restart"/>
            <w:tcMar>
              <w:left w:w="6" w:type="dxa"/>
              <w:right w:w="6" w:type="dxa"/>
            </w:tcMar>
            <w:vAlign w:val="center"/>
          </w:tcPr>
          <w:p>
            <w:pPr>
              <w:spacing w:line="240" w:lineRule="auto"/>
              <w:rPr>
                <w:sz w:val="18"/>
                <w:szCs w:val="18"/>
              </w:rPr>
            </w:pPr>
            <w:r>
              <w:rPr>
                <w:sz w:val="18"/>
                <w:szCs w:val="18"/>
              </w:rPr>
              <w:t>完善水功能区监督管理制度，建立水功能区水质达标评价体系；从严核定水域纳污容量，严格控制入河湖排污总量；把限制排污总量作为水污染防治和污染减排工作的重要依据，切实加强水污染防控，加强工业污染源控制，提高城市污水处理率，改善水环境质量；严格入河湖排污口监督管理，对排污量超出水功能区限排总量的地区，限制审批新增取水和入河湖排污口。</w:t>
            </w:r>
          </w:p>
        </w:tc>
        <w:tc>
          <w:tcPr>
            <w:tcW w:w="8345" w:type="dxa"/>
            <w:vAlign w:val="center"/>
          </w:tcPr>
          <w:p>
            <w:r>
              <w:rPr>
                <w:sz w:val="18"/>
                <w:szCs w:val="18"/>
              </w:rPr>
              <w:t>20</w:t>
            </w:r>
            <w:r>
              <w:rPr>
                <w:rFonts w:hint="eastAsia"/>
                <w:sz w:val="18"/>
                <w:szCs w:val="18"/>
              </w:rPr>
              <w:t>.</w:t>
            </w:r>
            <w:r>
              <w:rPr>
                <w:sz w:val="18"/>
                <w:szCs w:val="18"/>
              </w:rPr>
              <w:t>按照水利厅、环保厅《关于印发2015年落实水环境保护联动工作机制工作方案的通知》（宁水政发</w:t>
            </w:r>
            <w:r>
              <w:rPr>
                <w:rFonts w:hint="eastAsia"/>
                <w:sz w:val="18"/>
                <w:szCs w:val="18"/>
              </w:rPr>
              <w:t>〔</w:t>
            </w:r>
            <w:r>
              <w:rPr>
                <w:sz w:val="18"/>
                <w:szCs w:val="18"/>
              </w:rPr>
              <w:t>2015</w:t>
            </w:r>
            <w:r>
              <w:rPr>
                <w:rFonts w:hint="eastAsia"/>
                <w:sz w:val="18"/>
                <w:szCs w:val="18"/>
              </w:rPr>
              <w:t>〕</w:t>
            </w:r>
            <w:r>
              <w:rPr>
                <w:sz w:val="18"/>
                <w:szCs w:val="18"/>
              </w:rPr>
              <w:t>9号）要求，相关工作措施得到落实的，得5分。</w:t>
            </w:r>
          </w:p>
          <w:p>
            <w:r>
              <w:rPr>
                <w:sz w:val="18"/>
                <w:szCs w:val="18"/>
              </w:rPr>
              <w:t>未开展工业园区水资源保护与水环境治理专项检查的，发现一例扣1分，扣完为止；未开展主要河道及排水沟水环境治理工作的，发现一例扣1分，扣完为止。</w:t>
            </w:r>
          </w:p>
          <w:p>
            <w:pPr>
              <w:adjustRightInd w:val="0"/>
              <w:spacing w:line="240" w:lineRule="auto"/>
              <w:ind w:firstLine="360" w:firstLineChars="200"/>
              <w:rPr>
                <w:sz w:val="18"/>
                <w:szCs w:val="18"/>
              </w:rPr>
            </w:pPr>
            <w:r>
              <w:rPr>
                <w:sz w:val="18"/>
                <w:szCs w:val="18"/>
              </w:rPr>
              <w:t>沿黄各市、县（区）企业直接入黄排污口未关闭，发现一例扣1分，扣完为止。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1" w:type="dxa"/>
            <w:vMerge w:val="continue"/>
            <w:tcMar>
              <w:left w:w="6" w:type="dxa"/>
              <w:right w:w="6" w:type="dxa"/>
            </w:tcMar>
            <w:vAlign w:val="center"/>
          </w:tcPr>
          <w:p>
            <w:pPr>
              <w:spacing w:line="240" w:lineRule="auto"/>
              <w:jc w:val="both"/>
              <w:rPr>
                <w:sz w:val="18"/>
                <w:szCs w:val="18"/>
              </w:rPr>
            </w:pPr>
          </w:p>
        </w:tc>
        <w:tc>
          <w:tcPr>
            <w:tcW w:w="423" w:type="dxa"/>
            <w:vMerge w:val="continue"/>
            <w:tcMar>
              <w:left w:w="6" w:type="dxa"/>
              <w:right w:w="6" w:type="dxa"/>
            </w:tcMar>
            <w:vAlign w:val="center"/>
          </w:tcPr>
          <w:p>
            <w:pPr>
              <w:spacing w:line="240" w:lineRule="auto"/>
              <w:jc w:val="both"/>
              <w:rPr>
                <w:sz w:val="18"/>
                <w:szCs w:val="18"/>
              </w:rPr>
            </w:pPr>
          </w:p>
        </w:tc>
        <w:tc>
          <w:tcPr>
            <w:tcW w:w="570" w:type="dxa"/>
            <w:vMerge w:val="continue"/>
            <w:tcMar>
              <w:left w:w="6" w:type="dxa"/>
              <w:right w:w="6" w:type="dxa"/>
            </w:tcMar>
            <w:vAlign w:val="center"/>
          </w:tcPr>
          <w:p>
            <w:pPr>
              <w:spacing w:line="240" w:lineRule="auto"/>
              <w:jc w:val="both"/>
              <w:rPr>
                <w:sz w:val="18"/>
                <w:szCs w:val="18"/>
              </w:rPr>
            </w:pPr>
          </w:p>
        </w:tc>
        <w:tc>
          <w:tcPr>
            <w:tcW w:w="426" w:type="dxa"/>
            <w:vMerge w:val="continue"/>
            <w:tcMar>
              <w:left w:w="6" w:type="dxa"/>
              <w:right w:w="6" w:type="dxa"/>
            </w:tcMar>
            <w:vAlign w:val="center"/>
          </w:tcPr>
          <w:p>
            <w:pPr>
              <w:spacing w:line="240" w:lineRule="auto"/>
              <w:jc w:val="both"/>
              <w:rPr>
                <w:sz w:val="18"/>
                <w:szCs w:val="18"/>
              </w:rPr>
            </w:pPr>
          </w:p>
        </w:tc>
        <w:tc>
          <w:tcPr>
            <w:tcW w:w="3583" w:type="dxa"/>
            <w:vMerge w:val="continue"/>
            <w:tcMar>
              <w:left w:w="6" w:type="dxa"/>
              <w:right w:w="6" w:type="dxa"/>
            </w:tcMar>
            <w:vAlign w:val="center"/>
          </w:tcPr>
          <w:p>
            <w:pPr>
              <w:spacing w:line="240" w:lineRule="auto"/>
              <w:rPr>
                <w:sz w:val="18"/>
                <w:szCs w:val="18"/>
              </w:rPr>
            </w:pPr>
          </w:p>
        </w:tc>
        <w:tc>
          <w:tcPr>
            <w:tcW w:w="8345" w:type="dxa"/>
            <w:vAlign w:val="center"/>
          </w:tcPr>
          <w:p>
            <w:pPr>
              <w:adjustRightInd w:val="0"/>
              <w:spacing w:line="240" w:lineRule="auto"/>
              <w:ind w:firstLine="360" w:firstLineChars="200"/>
              <w:rPr>
                <w:sz w:val="18"/>
                <w:szCs w:val="18"/>
              </w:rPr>
            </w:pPr>
            <w:r>
              <w:rPr>
                <w:sz w:val="18"/>
                <w:szCs w:val="18"/>
              </w:rPr>
              <w:t>21</w:t>
            </w:r>
            <w:r>
              <w:rPr>
                <w:rFonts w:hint="eastAsia"/>
                <w:sz w:val="18"/>
                <w:szCs w:val="18"/>
              </w:rPr>
              <w:t>.</w:t>
            </w:r>
            <w:r>
              <w:rPr>
                <w:sz w:val="18"/>
                <w:szCs w:val="18"/>
              </w:rPr>
              <w:t>城市污水处理率达到“十二五”全国城镇污水处理及再生利用设施建设规划工作进度要求，设市城市污水处理率达到要求，得0.5分；县城污水处理率达到要求，得0.5分。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1" w:type="dxa"/>
            <w:vMerge w:val="continue"/>
            <w:tcMar>
              <w:left w:w="6" w:type="dxa"/>
              <w:right w:w="6" w:type="dxa"/>
            </w:tcMar>
            <w:vAlign w:val="center"/>
          </w:tcPr>
          <w:p>
            <w:pPr>
              <w:spacing w:line="240" w:lineRule="auto"/>
              <w:jc w:val="both"/>
              <w:rPr>
                <w:sz w:val="18"/>
                <w:szCs w:val="18"/>
              </w:rPr>
            </w:pPr>
          </w:p>
        </w:tc>
        <w:tc>
          <w:tcPr>
            <w:tcW w:w="423" w:type="dxa"/>
            <w:vMerge w:val="continue"/>
            <w:tcMar>
              <w:left w:w="6" w:type="dxa"/>
              <w:right w:w="6" w:type="dxa"/>
            </w:tcMar>
            <w:vAlign w:val="center"/>
          </w:tcPr>
          <w:p>
            <w:pPr>
              <w:spacing w:line="240" w:lineRule="auto"/>
              <w:jc w:val="both"/>
              <w:rPr>
                <w:sz w:val="18"/>
                <w:szCs w:val="18"/>
              </w:rPr>
            </w:pPr>
          </w:p>
        </w:tc>
        <w:tc>
          <w:tcPr>
            <w:tcW w:w="570" w:type="dxa"/>
            <w:vMerge w:val="continue"/>
            <w:tcMar>
              <w:left w:w="6" w:type="dxa"/>
              <w:right w:w="6" w:type="dxa"/>
            </w:tcMar>
            <w:vAlign w:val="center"/>
          </w:tcPr>
          <w:p>
            <w:pPr>
              <w:spacing w:line="240" w:lineRule="auto"/>
              <w:jc w:val="both"/>
              <w:rPr>
                <w:sz w:val="18"/>
                <w:szCs w:val="18"/>
              </w:rPr>
            </w:pPr>
          </w:p>
        </w:tc>
        <w:tc>
          <w:tcPr>
            <w:tcW w:w="426" w:type="dxa"/>
            <w:vMerge w:val="continue"/>
            <w:tcMar>
              <w:left w:w="6" w:type="dxa"/>
              <w:right w:w="6" w:type="dxa"/>
            </w:tcMar>
            <w:vAlign w:val="center"/>
          </w:tcPr>
          <w:p>
            <w:pPr>
              <w:spacing w:line="240" w:lineRule="auto"/>
              <w:jc w:val="both"/>
              <w:rPr>
                <w:sz w:val="18"/>
                <w:szCs w:val="18"/>
              </w:rPr>
            </w:pPr>
          </w:p>
        </w:tc>
        <w:tc>
          <w:tcPr>
            <w:tcW w:w="3583" w:type="dxa"/>
            <w:vMerge w:val="continue"/>
            <w:tcMar>
              <w:left w:w="6" w:type="dxa"/>
              <w:right w:w="6" w:type="dxa"/>
            </w:tcMar>
            <w:vAlign w:val="center"/>
          </w:tcPr>
          <w:p>
            <w:pPr>
              <w:spacing w:line="240" w:lineRule="auto"/>
              <w:rPr>
                <w:sz w:val="18"/>
                <w:szCs w:val="18"/>
              </w:rPr>
            </w:pPr>
          </w:p>
        </w:tc>
        <w:tc>
          <w:tcPr>
            <w:tcW w:w="8345" w:type="dxa"/>
            <w:vAlign w:val="center"/>
          </w:tcPr>
          <w:p>
            <w:r>
              <w:rPr>
                <w:sz w:val="18"/>
                <w:szCs w:val="18"/>
              </w:rPr>
              <w:t>22</w:t>
            </w:r>
            <w:r>
              <w:rPr>
                <w:rFonts w:hint="eastAsia"/>
                <w:sz w:val="18"/>
                <w:szCs w:val="18"/>
              </w:rPr>
              <w:t>.</w:t>
            </w:r>
            <w:r>
              <w:rPr>
                <w:sz w:val="18"/>
                <w:szCs w:val="18"/>
              </w:rPr>
              <w:t>《入河排污口监督管理办法》得到有效落实，得1分；对台账、监测、审批、论证等重要任务未开展的，发现一项扣0.5分，扣完为止。</w:t>
            </w:r>
          </w:p>
          <w:p>
            <w:pPr>
              <w:adjustRightInd w:val="0"/>
              <w:spacing w:line="240" w:lineRule="auto"/>
              <w:ind w:firstLine="360" w:firstLineChars="200"/>
              <w:rPr>
                <w:sz w:val="18"/>
                <w:szCs w:val="18"/>
              </w:rPr>
            </w:pPr>
            <w:r>
              <w:rPr>
                <w:sz w:val="18"/>
                <w:szCs w:val="18"/>
              </w:rPr>
              <w:t>排污口设置审批规范，且文件齐全，得1分；发现一例不符合规定的扣0.5分，扣完为止。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1" w:type="dxa"/>
            <w:vMerge w:val="continue"/>
            <w:tcMar>
              <w:left w:w="6" w:type="dxa"/>
              <w:right w:w="6" w:type="dxa"/>
            </w:tcMar>
            <w:vAlign w:val="center"/>
          </w:tcPr>
          <w:p>
            <w:pPr>
              <w:spacing w:line="240" w:lineRule="auto"/>
              <w:jc w:val="both"/>
              <w:rPr>
                <w:sz w:val="18"/>
                <w:szCs w:val="18"/>
              </w:rPr>
            </w:pPr>
          </w:p>
        </w:tc>
        <w:tc>
          <w:tcPr>
            <w:tcW w:w="423" w:type="dxa"/>
            <w:vMerge w:val="restart"/>
            <w:tcMar>
              <w:left w:w="6" w:type="dxa"/>
              <w:right w:w="6" w:type="dxa"/>
            </w:tcMar>
            <w:vAlign w:val="center"/>
          </w:tcPr>
          <w:p>
            <w:pPr>
              <w:spacing w:line="240" w:lineRule="auto"/>
              <w:jc w:val="both"/>
              <w:rPr>
                <w:sz w:val="18"/>
                <w:szCs w:val="18"/>
              </w:rPr>
            </w:pPr>
            <w:r>
              <w:rPr>
                <w:sz w:val="18"/>
                <w:szCs w:val="18"/>
              </w:rPr>
              <w:t>11</w:t>
            </w:r>
          </w:p>
        </w:tc>
        <w:tc>
          <w:tcPr>
            <w:tcW w:w="570" w:type="dxa"/>
            <w:vMerge w:val="restart"/>
            <w:tcMar>
              <w:left w:w="6" w:type="dxa"/>
              <w:right w:w="6" w:type="dxa"/>
            </w:tcMar>
            <w:vAlign w:val="center"/>
          </w:tcPr>
          <w:p>
            <w:pPr>
              <w:spacing w:line="240" w:lineRule="auto"/>
              <w:jc w:val="both"/>
              <w:rPr>
                <w:sz w:val="18"/>
                <w:szCs w:val="18"/>
              </w:rPr>
            </w:pPr>
            <w:r>
              <w:rPr>
                <w:sz w:val="18"/>
                <w:szCs w:val="18"/>
              </w:rPr>
              <w:t>加强</w:t>
            </w:r>
          </w:p>
          <w:p>
            <w:pPr>
              <w:spacing w:line="240" w:lineRule="auto"/>
              <w:jc w:val="both"/>
              <w:rPr>
                <w:sz w:val="18"/>
                <w:szCs w:val="18"/>
              </w:rPr>
            </w:pPr>
            <w:r>
              <w:rPr>
                <w:sz w:val="18"/>
                <w:szCs w:val="18"/>
              </w:rPr>
              <w:t>饮用水</w:t>
            </w:r>
          </w:p>
          <w:p>
            <w:pPr>
              <w:spacing w:line="240" w:lineRule="auto"/>
              <w:jc w:val="both"/>
              <w:rPr>
                <w:sz w:val="18"/>
                <w:szCs w:val="18"/>
              </w:rPr>
            </w:pPr>
            <w:r>
              <w:rPr>
                <w:sz w:val="18"/>
                <w:szCs w:val="18"/>
              </w:rPr>
              <w:t>水源</w:t>
            </w:r>
          </w:p>
          <w:p>
            <w:pPr>
              <w:spacing w:line="240" w:lineRule="auto"/>
              <w:jc w:val="both"/>
              <w:rPr>
                <w:sz w:val="18"/>
                <w:szCs w:val="18"/>
              </w:rPr>
            </w:pPr>
            <w:r>
              <w:rPr>
                <w:sz w:val="18"/>
                <w:szCs w:val="18"/>
              </w:rPr>
              <w:t>保护</w:t>
            </w:r>
          </w:p>
        </w:tc>
        <w:tc>
          <w:tcPr>
            <w:tcW w:w="426" w:type="dxa"/>
            <w:vMerge w:val="restart"/>
            <w:tcMar>
              <w:left w:w="6" w:type="dxa"/>
              <w:right w:w="6" w:type="dxa"/>
            </w:tcMar>
            <w:vAlign w:val="center"/>
          </w:tcPr>
          <w:p>
            <w:pPr>
              <w:spacing w:line="240" w:lineRule="auto"/>
              <w:jc w:val="both"/>
              <w:rPr>
                <w:sz w:val="18"/>
                <w:szCs w:val="18"/>
              </w:rPr>
            </w:pPr>
            <w:r>
              <w:rPr>
                <w:sz w:val="18"/>
                <w:szCs w:val="18"/>
              </w:rPr>
              <w:t>5</w:t>
            </w:r>
          </w:p>
        </w:tc>
        <w:tc>
          <w:tcPr>
            <w:tcW w:w="3583" w:type="dxa"/>
            <w:vMerge w:val="restart"/>
            <w:tcMar>
              <w:left w:w="6" w:type="dxa"/>
              <w:right w:w="6" w:type="dxa"/>
            </w:tcMar>
            <w:vAlign w:val="center"/>
          </w:tcPr>
          <w:p>
            <w:pPr>
              <w:spacing w:line="240" w:lineRule="auto"/>
              <w:rPr>
                <w:sz w:val="18"/>
                <w:szCs w:val="18"/>
              </w:rPr>
            </w:pPr>
            <w:r>
              <w:rPr>
                <w:sz w:val="18"/>
                <w:szCs w:val="18"/>
              </w:rPr>
              <w:t>依法划定饮用水水源保护区，组织开展饮用水水源地达标建设；禁止在饮用水水源保护区内设置排污口；完善饮用水水源地核准和安全评估制度；加快实施全国城市饮用水水源地安全保障规划和农村饮水安全工程规划；制定饮用水水源地突发事件应急预案，实行单水源供水的城市，应在安全评估的基础上建立备用水源。</w:t>
            </w:r>
          </w:p>
        </w:tc>
        <w:tc>
          <w:tcPr>
            <w:tcW w:w="8345" w:type="dxa"/>
            <w:vAlign w:val="center"/>
          </w:tcPr>
          <w:p>
            <w:r>
              <w:rPr>
                <w:sz w:val="18"/>
                <w:szCs w:val="18"/>
              </w:rPr>
              <w:t>23</w:t>
            </w:r>
            <w:r>
              <w:rPr>
                <w:rFonts w:hint="eastAsia"/>
                <w:sz w:val="18"/>
                <w:szCs w:val="18"/>
              </w:rPr>
              <w:t>.</w:t>
            </w:r>
            <w:r>
              <w:rPr>
                <w:sz w:val="18"/>
                <w:szCs w:val="18"/>
              </w:rPr>
              <w:t>饮用水水源地一级保护区内无与取水无关的设施，二级保护区内无排污口、网箱养殖、旅游垂钓等，得3分。</w:t>
            </w:r>
          </w:p>
          <w:p>
            <w:pPr>
              <w:adjustRightInd w:val="0"/>
              <w:spacing w:line="240" w:lineRule="auto"/>
              <w:ind w:firstLine="360" w:firstLineChars="200"/>
              <w:rPr>
                <w:sz w:val="18"/>
                <w:szCs w:val="18"/>
              </w:rPr>
            </w:pPr>
            <w:r>
              <w:rPr>
                <w:sz w:val="18"/>
                <w:szCs w:val="18"/>
              </w:rPr>
              <w:t>发现一例扣1分，扣完为止。（现场检查发现问题，此条一并扣分）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1" w:type="dxa"/>
            <w:vMerge w:val="continue"/>
            <w:tcMar>
              <w:left w:w="6" w:type="dxa"/>
              <w:right w:w="6" w:type="dxa"/>
            </w:tcMar>
            <w:vAlign w:val="center"/>
          </w:tcPr>
          <w:p>
            <w:pPr>
              <w:spacing w:line="240" w:lineRule="auto"/>
              <w:jc w:val="both"/>
              <w:rPr>
                <w:sz w:val="18"/>
                <w:szCs w:val="18"/>
              </w:rPr>
            </w:pPr>
          </w:p>
        </w:tc>
        <w:tc>
          <w:tcPr>
            <w:tcW w:w="423" w:type="dxa"/>
            <w:vMerge w:val="continue"/>
            <w:tcMar>
              <w:left w:w="6" w:type="dxa"/>
              <w:right w:w="6" w:type="dxa"/>
            </w:tcMar>
            <w:vAlign w:val="center"/>
          </w:tcPr>
          <w:p>
            <w:pPr>
              <w:spacing w:line="240" w:lineRule="auto"/>
              <w:jc w:val="both"/>
              <w:rPr>
                <w:sz w:val="18"/>
                <w:szCs w:val="18"/>
              </w:rPr>
            </w:pPr>
          </w:p>
        </w:tc>
        <w:tc>
          <w:tcPr>
            <w:tcW w:w="570" w:type="dxa"/>
            <w:vMerge w:val="continue"/>
            <w:tcMar>
              <w:left w:w="6" w:type="dxa"/>
              <w:right w:w="6" w:type="dxa"/>
            </w:tcMar>
            <w:vAlign w:val="center"/>
          </w:tcPr>
          <w:p>
            <w:pPr>
              <w:spacing w:line="240" w:lineRule="auto"/>
              <w:jc w:val="both"/>
              <w:rPr>
                <w:sz w:val="18"/>
                <w:szCs w:val="18"/>
              </w:rPr>
            </w:pPr>
          </w:p>
        </w:tc>
        <w:tc>
          <w:tcPr>
            <w:tcW w:w="426" w:type="dxa"/>
            <w:vMerge w:val="continue"/>
            <w:tcMar>
              <w:left w:w="6" w:type="dxa"/>
              <w:right w:w="6" w:type="dxa"/>
            </w:tcMar>
            <w:vAlign w:val="center"/>
          </w:tcPr>
          <w:p>
            <w:pPr>
              <w:spacing w:line="240" w:lineRule="auto"/>
              <w:jc w:val="both"/>
              <w:rPr>
                <w:sz w:val="18"/>
                <w:szCs w:val="18"/>
              </w:rPr>
            </w:pPr>
          </w:p>
        </w:tc>
        <w:tc>
          <w:tcPr>
            <w:tcW w:w="3583" w:type="dxa"/>
            <w:vMerge w:val="continue"/>
            <w:tcMar>
              <w:left w:w="6" w:type="dxa"/>
              <w:right w:w="6" w:type="dxa"/>
            </w:tcMar>
            <w:vAlign w:val="center"/>
          </w:tcPr>
          <w:p>
            <w:pPr>
              <w:spacing w:line="240" w:lineRule="auto"/>
              <w:rPr>
                <w:sz w:val="18"/>
                <w:szCs w:val="18"/>
              </w:rPr>
            </w:pPr>
          </w:p>
        </w:tc>
        <w:tc>
          <w:tcPr>
            <w:tcW w:w="8345" w:type="dxa"/>
            <w:vAlign w:val="center"/>
          </w:tcPr>
          <w:p>
            <w:pPr>
              <w:adjustRightInd w:val="0"/>
              <w:spacing w:line="240" w:lineRule="auto"/>
              <w:ind w:firstLine="360" w:firstLineChars="200"/>
              <w:rPr>
                <w:sz w:val="18"/>
                <w:szCs w:val="18"/>
              </w:rPr>
            </w:pPr>
            <w:r>
              <w:rPr>
                <w:sz w:val="18"/>
                <w:szCs w:val="18"/>
              </w:rPr>
              <w:t>24</w:t>
            </w:r>
            <w:r>
              <w:rPr>
                <w:rFonts w:hint="eastAsia"/>
                <w:sz w:val="18"/>
                <w:szCs w:val="18"/>
              </w:rPr>
              <w:t>.</w:t>
            </w:r>
            <w:r>
              <w:rPr>
                <w:sz w:val="18"/>
                <w:szCs w:val="18"/>
              </w:rPr>
              <w:t>辖区内城镇饮用水水源地水质全部达到要求，得1分，否则，此项不得分。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1" w:type="dxa"/>
            <w:vMerge w:val="continue"/>
            <w:tcMar>
              <w:left w:w="6" w:type="dxa"/>
              <w:right w:w="6" w:type="dxa"/>
            </w:tcMar>
            <w:vAlign w:val="center"/>
          </w:tcPr>
          <w:p>
            <w:pPr>
              <w:spacing w:line="240" w:lineRule="auto"/>
              <w:jc w:val="both"/>
              <w:rPr>
                <w:sz w:val="18"/>
                <w:szCs w:val="18"/>
              </w:rPr>
            </w:pPr>
          </w:p>
        </w:tc>
        <w:tc>
          <w:tcPr>
            <w:tcW w:w="423" w:type="dxa"/>
            <w:vMerge w:val="continue"/>
            <w:tcMar>
              <w:left w:w="6" w:type="dxa"/>
              <w:right w:w="6" w:type="dxa"/>
            </w:tcMar>
            <w:vAlign w:val="center"/>
          </w:tcPr>
          <w:p>
            <w:pPr>
              <w:spacing w:line="240" w:lineRule="auto"/>
              <w:jc w:val="both"/>
              <w:rPr>
                <w:sz w:val="18"/>
                <w:szCs w:val="18"/>
              </w:rPr>
            </w:pPr>
          </w:p>
        </w:tc>
        <w:tc>
          <w:tcPr>
            <w:tcW w:w="570" w:type="dxa"/>
            <w:vMerge w:val="continue"/>
            <w:tcMar>
              <w:left w:w="6" w:type="dxa"/>
              <w:right w:w="6" w:type="dxa"/>
            </w:tcMar>
            <w:vAlign w:val="center"/>
          </w:tcPr>
          <w:p>
            <w:pPr>
              <w:spacing w:line="240" w:lineRule="auto"/>
              <w:jc w:val="both"/>
              <w:rPr>
                <w:sz w:val="18"/>
                <w:szCs w:val="18"/>
              </w:rPr>
            </w:pPr>
          </w:p>
        </w:tc>
        <w:tc>
          <w:tcPr>
            <w:tcW w:w="426" w:type="dxa"/>
            <w:vMerge w:val="continue"/>
            <w:tcMar>
              <w:left w:w="6" w:type="dxa"/>
              <w:right w:w="6" w:type="dxa"/>
            </w:tcMar>
            <w:vAlign w:val="center"/>
          </w:tcPr>
          <w:p>
            <w:pPr>
              <w:spacing w:line="240" w:lineRule="auto"/>
              <w:jc w:val="both"/>
              <w:rPr>
                <w:sz w:val="18"/>
                <w:szCs w:val="18"/>
              </w:rPr>
            </w:pPr>
          </w:p>
        </w:tc>
        <w:tc>
          <w:tcPr>
            <w:tcW w:w="3583" w:type="dxa"/>
            <w:vMerge w:val="continue"/>
            <w:tcMar>
              <w:left w:w="6" w:type="dxa"/>
              <w:right w:w="6" w:type="dxa"/>
            </w:tcMar>
            <w:vAlign w:val="center"/>
          </w:tcPr>
          <w:p>
            <w:pPr>
              <w:spacing w:line="240" w:lineRule="auto"/>
              <w:rPr>
                <w:sz w:val="18"/>
                <w:szCs w:val="18"/>
              </w:rPr>
            </w:pPr>
          </w:p>
        </w:tc>
        <w:tc>
          <w:tcPr>
            <w:tcW w:w="8345" w:type="dxa"/>
            <w:vAlign w:val="center"/>
          </w:tcPr>
          <w:p>
            <w:pPr>
              <w:adjustRightInd w:val="0"/>
              <w:spacing w:line="240" w:lineRule="auto"/>
              <w:ind w:firstLine="360" w:firstLineChars="200"/>
              <w:rPr>
                <w:sz w:val="18"/>
                <w:szCs w:val="18"/>
              </w:rPr>
            </w:pPr>
            <w:r>
              <w:rPr>
                <w:sz w:val="18"/>
                <w:szCs w:val="18"/>
              </w:rPr>
              <w:t>25</w:t>
            </w:r>
            <w:r>
              <w:rPr>
                <w:rFonts w:hint="eastAsia"/>
                <w:sz w:val="18"/>
                <w:szCs w:val="18"/>
              </w:rPr>
              <w:t>.</w:t>
            </w:r>
            <w:r>
              <w:rPr>
                <w:sz w:val="18"/>
                <w:szCs w:val="18"/>
              </w:rPr>
              <w:t>辖区内城镇饮用水水源地全部有突发事件应急预案的，得1分；一半以上具备突发事件应急预案的，得0.5分；其余不得分。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0" w:hRule="atLeast"/>
          <w:jc w:val="center"/>
        </w:trPr>
        <w:tc>
          <w:tcPr>
            <w:tcW w:w="481" w:type="dxa"/>
            <w:vMerge w:val="continue"/>
            <w:tcMar>
              <w:left w:w="6" w:type="dxa"/>
              <w:right w:w="6" w:type="dxa"/>
            </w:tcMar>
            <w:vAlign w:val="center"/>
          </w:tcPr>
          <w:p>
            <w:pPr>
              <w:spacing w:line="240" w:lineRule="auto"/>
              <w:jc w:val="both"/>
              <w:rPr>
                <w:sz w:val="18"/>
                <w:szCs w:val="18"/>
              </w:rPr>
            </w:pPr>
          </w:p>
        </w:tc>
        <w:tc>
          <w:tcPr>
            <w:tcW w:w="423" w:type="dxa"/>
            <w:tcMar>
              <w:left w:w="6" w:type="dxa"/>
              <w:right w:w="6" w:type="dxa"/>
            </w:tcMar>
            <w:vAlign w:val="center"/>
          </w:tcPr>
          <w:p>
            <w:pPr>
              <w:spacing w:line="240" w:lineRule="auto"/>
              <w:jc w:val="both"/>
              <w:rPr>
                <w:sz w:val="18"/>
                <w:szCs w:val="18"/>
              </w:rPr>
            </w:pPr>
            <w:r>
              <w:rPr>
                <w:sz w:val="18"/>
                <w:szCs w:val="18"/>
              </w:rPr>
              <w:t>12</w:t>
            </w:r>
          </w:p>
        </w:tc>
        <w:tc>
          <w:tcPr>
            <w:tcW w:w="570" w:type="dxa"/>
            <w:tcMar>
              <w:left w:w="6" w:type="dxa"/>
              <w:right w:w="6" w:type="dxa"/>
            </w:tcMar>
            <w:vAlign w:val="center"/>
          </w:tcPr>
          <w:p>
            <w:pPr>
              <w:spacing w:line="240" w:lineRule="auto"/>
              <w:jc w:val="both"/>
              <w:rPr>
                <w:sz w:val="18"/>
                <w:szCs w:val="18"/>
              </w:rPr>
            </w:pPr>
            <w:r>
              <w:rPr>
                <w:sz w:val="18"/>
                <w:szCs w:val="18"/>
              </w:rPr>
              <w:t>推进</w:t>
            </w:r>
          </w:p>
          <w:p>
            <w:pPr>
              <w:spacing w:line="240" w:lineRule="auto"/>
              <w:jc w:val="both"/>
              <w:rPr>
                <w:sz w:val="18"/>
                <w:szCs w:val="18"/>
              </w:rPr>
            </w:pPr>
            <w:r>
              <w:rPr>
                <w:sz w:val="18"/>
                <w:szCs w:val="18"/>
              </w:rPr>
              <w:t>水生态</w:t>
            </w:r>
          </w:p>
          <w:p>
            <w:pPr>
              <w:spacing w:line="240" w:lineRule="auto"/>
              <w:jc w:val="both"/>
              <w:rPr>
                <w:sz w:val="18"/>
                <w:szCs w:val="18"/>
              </w:rPr>
            </w:pPr>
            <w:r>
              <w:rPr>
                <w:sz w:val="18"/>
                <w:szCs w:val="18"/>
              </w:rPr>
              <w:t>系统</w:t>
            </w:r>
          </w:p>
          <w:p>
            <w:pPr>
              <w:spacing w:line="240" w:lineRule="auto"/>
              <w:jc w:val="both"/>
              <w:rPr>
                <w:sz w:val="18"/>
                <w:szCs w:val="18"/>
              </w:rPr>
            </w:pPr>
            <w:r>
              <w:rPr>
                <w:sz w:val="18"/>
                <w:szCs w:val="18"/>
              </w:rPr>
              <w:t>保护</w:t>
            </w:r>
          </w:p>
          <w:p>
            <w:pPr>
              <w:spacing w:line="240" w:lineRule="auto"/>
              <w:jc w:val="both"/>
              <w:rPr>
                <w:sz w:val="18"/>
                <w:szCs w:val="18"/>
              </w:rPr>
            </w:pPr>
            <w:r>
              <w:rPr>
                <w:sz w:val="18"/>
                <w:szCs w:val="18"/>
              </w:rPr>
              <w:t>与修复</w:t>
            </w:r>
          </w:p>
        </w:tc>
        <w:tc>
          <w:tcPr>
            <w:tcW w:w="426" w:type="dxa"/>
            <w:tcMar>
              <w:left w:w="6" w:type="dxa"/>
              <w:right w:w="6" w:type="dxa"/>
            </w:tcMar>
            <w:vAlign w:val="center"/>
          </w:tcPr>
          <w:p>
            <w:pPr>
              <w:spacing w:line="240" w:lineRule="auto"/>
              <w:jc w:val="both"/>
              <w:rPr>
                <w:sz w:val="18"/>
                <w:szCs w:val="18"/>
              </w:rPr>
            </w:pPr>
            <w:r>
              <w:rPr>
                <w:sz w:val="18"/>
                <w:szCs w:val="18"/>
              </w:rPr>
              <w:t>6</w:t>
            </w:r>
          </w:p>
        </w:tc>
        <w:tc>
          <w:tcPr>
            <w:tcW w:w="3583" w:type="dxa"/>
            <w:tcMar>
              <w:left w:w="6" w:type="dxa"/>
              <w:right w:w="6" w:type="dxa"/>
            </w:tcMar>
            <w:vAlign w:val="center"/>
          </w:tcPr>
          <w:p>
            <w:pPr>
              <w:spacing w:line="240" w:lineRule="auto"/>
              <w:rPr>
                <w:sz w:val="18"/>
                <w:szCs w:val="18"/>
              </w:rPr>
            </w:pPr>
            <w:r>
              <w:rPr>
                <w:sz w:val="18"/>
                <w:szCs w:val="18"/>
              </w:rPr>
              <w:t>维持河流合理流量和湖泊、水库以及地下水的合理水位，维护河湖健康生态；加强水资源保护，推进生态脆弱河流和地区水生态修复；推进河湖健康评估，建立健全水生态补偿机制。</w:t>
            </w:r>
          </w:p>
        </w:tc>
        <w:tc>
          <w:tcPr>
            <w:tcW w:w="8345" w:type="dxa"/>
            <w:vAlign w:val="center"/>
          </w:tcPr>
          <w:p>
            <w:r>
              <w:rPr>
                <w:sz w:val="18"/>
                <w:szCs w:val="18"/>
              </w:rPr>
              <w:t>26</w:t>
            </w:r>
            <w:r>
              <w:rPr>
                <w:rFonts w:hint="eastAsia"/>
                <w:sz w:val="18"/>
                <w:szCs w:val="18"/>
              </w:rPr>
              <w:t>.</w:t>
            </w:r>
            <w:r>
              <w:rPr>
                <w:sz w:val="18"/>
                <w:szCs w:val="18"/>
              </w:rPr>
              <w:t>水生态文明城市试点工作进展顺利，得6分。</w:t>
            </w:r>
          </w:p>
          <w:p>
            <w:r>
              <w:rPr>
                <w:sz w:val="18"/>
                <w:szCs w:val="18"/>
              </w:rPr>
              <w:t>自治区试点城市按要求编制实施方案及时报送有关材料，得4分。未编制方案的，此项不得分；编制方案未审查的，扣2分，方案未通过批复的，扣2分。</w:t>
            </w:r>
          </w:p>
          <w:p>
            <w:pPr>
              <w:adjustRightInd w:val="0"/>
              <w:spacing w:line="240" w:lineRule="auto"/>
              <w:ind w:firstLine="360" w:firstLineChars="200"/>
              <w:rPr>
                <w:color w:val="auto"/>
                <w:sz w:val="18"/>
                <w:szCs w:val="18"/>
              </w:rPr>
            </w:pPr>
            <w:r>
              <w:rPr>
                <w:sz w:val="18"/>
                <w:szCs w:val="18"/>
              </w:rPr>
              <w:t>第一批、第二批全国试点城市工作取得初步进展，并报送有关材料，得2分。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1" w:type="dxa"/>
            <w:vMerge w:val="continue"/>
            <w:tcMar>
              <w:left w:w="6" w:type="dxa"/>
              <w:right w:w="6" w:type="dxa"/>
            </w:tcMar>
            <w:vAlign w:val="center"/>
          </w:tcPr>
          <w:p>
            <w:pPr>
              <w:spacing w:line="240" w:lineRule="auto"/>
              <w:jc w:val="both"/>
              <w:rPr>
                <w:sz w:val="18"/>
                <w:szCs w:val="18"/>
              </w:rPr>
            </w:pPr>
          </w:p>
        </w:tc>
        <w:tc>
          <w:tcPr>
            <w:tcW w:w="993" w:type="dxa"/>
            <w:gridSpan w:val="2"/>
            <w:tcMar>
              <w:left w:w="6" w:type="dxa"/>
              <w:right w:w="6" w:type="dxa"/>
            </w:tcMar>
            <w:vAlign w:val="center"/>
          </w:tcPr>
          <w:p>
            <w:pPr>
              <w:spacing w:line="240" w:lineRule="auto"/>
              <w:jc w:val="both"/>
              <w:rPr>
                <w:sz w:val="18"/>
                <w:szCs w:val="18"/>
              </w:rPr>
            </w:pPr>
            <w:r>
              <w:rPr>
                <w:sz w:val="18"/>
                <w:szCs w:val="18"/>
              </w:rPr>
              <w:t>小计</w:t>
            </w:r>
          </w:p>
        </w:tc>
        <w:tc>
          <w:tcPr>
            <w:tcW w:w="426" w:type="dxa"/>
            <w:tcMar>
              <w:left w:w="6" w:type="dxa"/>
              <w:right w:w="6" w:type="dxa"/>
            </w:tcMar>
            <w:vAlign w:val="center"/>
          </w:tcPr>
          <w:p>
            <w:pPr>
              <w:spacing w:line="240" w:lineRule="auto"/>
              <w:jc w:val="both"/>
              <w:rPr>
                <w:sz w:val="18"/>
                <w:szCs w:val="18"/>
              </w:rPr>
            </w:pPr>
            <w:r>
              <w:rPr>
                <w:sz w:val="18"/>
                <w:szCs w:val="18"/>
              </w:rPr>
              <w:t>19</w:t>
            </w:r>
          </w:p>
        </w:tc>
        <w:tc>
          <w:tcPr>
            <w:tcW w:w="3583" w:type="dxa"/>
            <w:tcMar>
              <w:left w:w="6" w:type="dxa"/>
              <w:right w:w="6" w:type="dxa"/>
            </w:tcMar>
            <w:vAlign w:val="center"/>
          </w:tcPr>
          <w:p>
            <w:pPr>
              <w:spacing w:line="240" w:lineRule="auto"/>
              <w:rPr>
                <w:sz w:val="18"/>
                <w:szCs w:val="18"/>
              </w:rPr>
            </w:pPr>
          </w:p>
        </w:tc>
        <w:tc>
          <w:tcPr>
            <w:tcW w:w="8345" w:type="dxa"/>
            <w:vAlign w:val="center"/>
          </w:tcPr>
          <w:p>
            <w:pPr>
              <w:adjustRightInd w:val="0"/>
              <w:spacing w:line="240" w:lineRule="auto"/>
              <w:ind w:firstLine="360" w:firstLineChars="20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1" w:type="dxa"/>
            <w:vMerge w:val="restart"/>
            <w:tcMar>
              <w:left w:w="6" w:type="dxa"/>
              <w:right w:w="6" w:type="dxa"/>
            </w:tcMar>
            <w:vAlign w:val="center"/>
          </w:tcPr>
          <w:p>
            <w:pPr>
              <w:spacing w:line="240" w:lineRule="auto"/>
              <w:jc w:val="both"/>
              <w:rPr>
                <w:sz w:val="18"/>
                <w:szCs w:val="18"/>
              </w:rPr>
            </w:pPr>
            <w:r>
              <w:rPr>
                <w:sz w:val="18"/>
                <w:szCs w:val="18"/>
              </w:rPr>
              <w:t>其</w:t>
            </w:r>
          </w:p>
          <w:p>
            <w:pPr>
              <w:spacing w:line="240" w:lineRule="auto"/>
              <w:jc w:val="both"/>
              <w:rPr>
                <w:sz w:val="18"/>
                <w:szCs w:val="18"/>
              </w:rPr>
            </w:pPr>
          </w:p>
          <w:p>
            <w:pPr>
              <w:spacing w:line="240" w:lineRule="auto"/>
              <w:jc w:val="both"/>
              <w:rPr>
                <w:sz w:val="18"/>
                <w:szCs w:val="18"/>
              </w:rPr>
            </w:pPr>
            <w:r>
              <w:rPr>
                <w:sz w:val="18"/>
                <w:szCs w:val="18"/>
              </w:rPr>
              <w:t>他</w:t>
            </w:r>
          </w:p>
          <w:p>
            <w:pPr>
              <w:spacing w:line="240" w:lineRule="auto"/>
              <w:jc w:val="both"/>
              <w:rPr>
                <w:sz w:val="18"/>
                <w:szCs w:val="18"/>
              </w:rPr>
            </w:pPr>
          </w:p>
          <w:p>
            <w:pPr>
              <w:spacing w:line="240" w:lineRule="auto"/>
              <w:jc w:val="both"/>
              <w:rPr>
                <w:sz w:val="18"/>
                <w:szCs w:val="18"/>
              </w:rPr>
            </w:pPr>
            <w:r>
              <w:rPr>
                <w:sz w:val="18"/>
                <w:szCs w:val="18"/>
              </w:rPr>
              <w:t>制</w:t>
            </w:r>
          </w:p>
          <w:p>
            <w:pPr>
              <w:spacing w:line="240" w:lineRule="auto"/>
              <w:jc w:val="both"/>
              <w:rPr>
                <w:sz w:val="18"/>
                <w:szCs w:val="18"/>
              </w:rPr>
            </w:pPr>
          </w:p>
          <w:p>
            <w:pPr>
              <w:spacing w:line="240" w:lineRule="auto"/>
              <w:jc w:val="both"/>
              <w:rPr>
                <w:sz w:val="18"/>
                <w:szCs w:val="18"/>
              </w:rPr>
            </w:pPr>
            <w:r>
              <w:rPr>
                <w:sz w:val="18"/>
                <w:szCs w:val="18"/>
              </w:rPr>
              <w:t>度</w:t>
            </w:r>
          </w:p>
          <w:p>
            <w:pPr>
              <w:spacing w:line="240" w:lineRule="auto"/>
              <w:jc w:val="both"/>
              <w:rPr>
                <w:sz w:val="18"/>
                <w:szCs w:val="18"/>
              </w:rPr>
            </w:pPr>
          </w:p>
          <w:p>
            <w:pPr>
              <w:spacing w:line="240" w:lineRule="auto"/>
              <w:jc w:val="both"/>
              <w:rPr>
                <w:sz w:val="18"/>
                <w:szCs w:val="18"/>
              </w:rPr>
            </w:pPr>
            <w:r>
              <w:rPr>
                <w:sz w:val="18"/>
                <w:szCs w:val="18"/>
              </w:rPr>
              <w:t>建</w:t>
            </w:r>
          </w:p>
          <w:p>
            <w:pPr>
              <w:spacing w:line="240" w:lineRule="auto"/>
              <w:jc w:val="both"/>
              <w:rPr>
                <w:sz w:val="18"/>
                <w:szCs w:val="18"/>
              </w:rPr>
            </w:pPr>
          </w:p>
          <w:p>
            <w:pPr>
              <w:spacing w:line="240" w:lineRule="auto"/>
              <w:jc w:val="both"/>
              <w:rPr>
                <w:sz w:val="18"/>
                <w:szCs w:val="18"/>
              </w:rPr>
            </w:pPr>
            <w:r>
              <w:rPr>
                <w:sz w:val="18"/>
                <w:szCs w:val="18"/>
              </w:rPr>
              <w:t>设</w:t>
            </w:r>
          </w:p>
          <w:p>
            <w:pPr>
              <w:spacing w:line="240" w:lineRule="auto"/>
              <w:jc w:val="both"/>
              <w:rPr>
                <w:sz w:val="18"/>
                <w:szCs w:val="18"/>
              </w:rPr>
            </w:pPr>
          </w:p>
          <w:p>
            <w:pPr>
              <w:spacing w:line="240" w:lineRule="auto"/>
              <w:jc w:val="both"/>
              <w:rPr>
                <w:sz w:val="18"/>
                <w:szCs w:val="18"/>
              </w:rPr>
            </w:pPr>
            <w:r>
              <w:rPr>
                <w:sz w:val="18"/>
                <w:szCs w:val="18"/>
              </w:rPr>
              <w:t>及</w:t>
            </w:r>
          </w:p>
          <w:p>
            <w:pPr>
              <w:spacing w:line="240" w:lineRule="auto"/>
              <w:jc w:val="both"/>
              <w:rPr>
                <w:sz w:val="18"/>
                <w:szCs w:val="18"/>
              </w:rPr>
            </w:pPr>
          </w:p>
          <w:p>
            <w:pPr>
              <w:spacing w:line="240" w:lineRule="auto"/>
              <w:jc w:val="both"/>
              <w:rPr>
                <w:sz w:val="18"/>
                <w:szCs w:val="18"/>
              </w:rPr>
            </w:pPr>
            <w:r>
              <w:rPr>
                <w:sz w:val="18"/>
                <w:szCs w:val="18"/>
              </w:rPr>
              <w:t>相</w:t>
            </w:r>
          </w:p>
          <w:p>
            <w:pPr>
              <w:spacing w:line="240" w:lineRule="auto"/>
              <w:jc w:val="both"/>
              <w:rPr>
                <w:sz w:val="18"/>
                <w:szCs w:val="18"/>
              </w:rPr>
            </w:pPr>
          </w:p>
          <w:p>
            <w:pPr>
              <w:spacing w:line="240" w:lineRule="auto"/>
              <w:jc w:val="both"/>
              <w:rPr>
                <w:sz w:val="18"/>
                <w:szCs w:val="18"/>
              </w:rPr>
            </w:pPr>
            <w:r>
              <w:rPr>
                <w:sz w:val="18"/>
                <w:szCs w:val="18"/>
              </w:rPr>
              <w:t>应</w:t>
            </w:r>
          </w:p>
          <w:p>
            <w:pPr>
              <w:spacing w:line="240" w:lineRule="auto"/>
              <w:jc w:val="both"/>
              <w:rPr>
                <w:sz w:val="18"/>
                <w:szCs w:val="18"/>
              </w:rPr>
            </w:pPr>
          </w:p>
          <w:p>
            <w:pPr>
              <w:spacing w:line="240" w:lineRule="auto"/>
              <w:jc w:val="both"/>
              <w:rPr>
                <w:sz w:val="18"/>
                <w:szCs w:val="18"/>
              </w:rPr>
            </w:pPr>
            <w:r>
              <w:rPr>
                <w:sz w:val="18"/>
                <w:szCs w:val="18"/>
              </w:rPr>
              <w:t>措</w:t>
            </w:r>
          </w:p>
          <w:p>
            <w:pPr>
              <w:spacing w:line="240" w:lineRule="auto"/>
              <w:jc w:val="both"/>
              <w:rPr>
                <w:sz w:val="18"/>
                <w:szCs w:val="18"/>
              </w:rPr>
            </w:pPr>
          </w:p>
          <w:p>
            <w:pPr>
              <w:spacing w:line="240" w:lineRule="auto"/>
              <w:jc w:val="both"/>
              <w:rPr>
                <w:sz w:val="18"/>
                <w:szCs w:val="18"/>
              </w:rPr>
            </w:pPr>
            <w:r>
              <w:rPr>
                <w:sz w:val="18"/>
                <w:szCs w:val="18"/>
              </w:rPr>
              <w:t>施</w:t>
            </w:r>
          </w:p>
          <w:p>
            <w:pPr>
              <w:spacing w:line="240" w:lineRule="auto"/>
              <w:jc w:val="both"/>
              <w:rPr>
                <w:sz w:val="18"/>
                <w:szCs w:val="18"/>
              </w:rPr>
            </w:pPr>
          </w:p>
          <w:p>
            <w:pPr>
              <w:spacing w:line="240" w:lineRule="auto"/>
              <w:jc w:val="both"/>
              <w:rPr>
                <w:sz w:val="18"/>
                <w:szCs w:val="18"/>
              </w:rPr>
            </w:pPr>
            <w:r>
              <w:rPr>
                <w:sz w:val="18"/>
                <w:szCs w:val="18"/>
              </w:rPr>
              <w:t>落</w:t>
            </w:r>
          </w:p>
          <w:p>
            <w:pPr>
              <w:spacing w:line="240" w:lineRule="auto"/>
              <w:jc w:val="both"/>
              <w:rPr>
                <w:sz w:val="18"/>
                <w:szCs w:val="18"/>
              </w:rPr>
            </w:pPr>
          </w:p>
          <w:p>
            <w:pPr>
              <w:spacing w:line="240" w:lineRule="auto"/>
              <w:jc w:val="both"/>
              <w:rPr>
                <w:sz w:val="18"/>
                <w:szCs w:val="18"/>
              </w:rPr>
            </w:pPr>
            <w:r>
              <w:rPr>
                <w:sz w:val="18"/>
                <w:szCs w:val="18"/>
              </w:rPr>
              <w:t>实</w:t>
            </w:r>
          </w:p>
          <w:p>
            <w:pPr>
              <w:spacing w:line="240" w:lineRule="auto"/>
              <w:jc w:val="both"/>
              <w:rPr>
                <w:sz w:val="18"/>
                <w:szCs w:val="18"/>
              </w:rPr>
            </w:pPr>
          </w:p>
          <w:p>
            <w:pPr>
              <w:spacing w:line="240" w:lineRule="auto"/>
              <w:jc w:val="both"/>
              <w:rPr>
                <w:sz w:val="18"/>
                <w:szCs w:val="18"/>
              </w:rPr>
            </w:pPr>
            <w:r>
              <w:rPr>
                <w:sz w:val="18"/>
                <w:szCs w:val="18"/>
              </w:rPr>
              <w:t>情</w:t>
            </w:r>
          </w:p>
          <w:p>
            <w:pPr>
              <w:spacing w:line="240" w:lineRule="auto"/>
              <w:jc w:val="both"/>
              <w:rPr>
                <w:sz w:val="18"/>
                <w:szCs w:val="18"/>
              </w:rPr>
            </w:pPr>
          </w:p>
          <w:p>
            <w:pPr>
              <w:spacing w:line="240" w:lineRule="auto"/>
              <w:jc w:val="both"/>
              <w:rPr>
                <w:sz w:val="18"/>
                <w:szCs w:val="18"/>
              </w:rPr>
            </w:pPr>
            <w:r>
              <w:rPr>
                <w:sz w:val="18"/>
                <w:szCs w:val="18"/>
              </w:rPr>
              <w:t>况</w:t>
            </w:r>
          </w:p>
        </w:tc>
        <w:tc>
          <w:tcPr>
            <w:tcW w:w="423" w:type="dxa"/>
            <w:vMerge w:val="restart"/>
            <w:tcMar>
              <w:left w:w="6" w:type="dxa"/>
              <w:right w:w="6" w:type="dxa"/>
            </w:tcMar>
            <w:vAlign w:val="center"/>
          </w:tcPr>
          <w:p>
            <w:pPr>
              <w:spacing w:line="240" w:lineRule="auto"/>
              <w:jc w:val="both"/>
              <w:rPr>
                <w:sz w:val="18"/>
                <w:szCs w:val="18"/>
              </w:rPr>
            </w:pPr>
            <w:r>
              <w:rPr>
                <w:sz w:val="18"/>
                <w:szCs w:val="18"/>
              </w:rPr>
              <w:t>13</w:t>
            </w:r>
          </w:p>
        </w:tc>
        <w:tc>
          <w:tcPr>
            <w:tcW w:w="570" w:type="dxa"/>
            <w:vMerge w:val="restart"/>
            <w:tcMar>
              <w:left w:w="6" w:type="dxa"/>
              <w:right w:w="6" w:type="dxa"/>
            </w:tcMar>
            <w:vAlign w:val="center"/>
          </w:tcPr>
          <w:p>
            <w:pPr>
              <w:spacing w:line="240" w:lineRule="auto"/>
              <w:jc w:val="both"/>
              <w:rPr>
                <w:sz w:val="18"/>
                <w:szCs w:val="18"/>
              </w:rPr>
            </w:pPr>
            <w:r>
              <w:rPr>
                <w:sz w:val="18"/>
                <w:szCs w:val="18"/>
              </w:rPr>
              <w:t>建立</w:t>
            </w:r>
          </w:p>
          <w:p>
            <w:pPr>
              <w:spacing w:line="240" w:lineRule="auto"/>
              <w:jc w:val="both"/>
              <w:rPr>
                <w:sz w:val="18"/>
                <w:szCs w:val="18"/>
              </w:rPr>
            </w:pPr>
            <w:r>
              <w:rPr>
                <w:sz w:val="18"/>
                <w:szCs w:val="18"/>
              </w:rPr>
              <w:t>水资源</w:t>
            </w:r>
          </w:p>
          <w:p>
            <w:pPr>
              <w:spacing w:line="240" w:lineRule="auto"/>
              <w:jc w:val="both"/>
              <w:rPr>
                <w:sz w:val="18"/>
                <w:szCs w:val="18"/>
              </w:rPr>
            </w:pPr>
            <w:r>
              <w:rPr>
                <w:sz w:val="18"/>
                <w:szCs w:val="18"/>
              </w:rPr>
              <w:t>管理</w:t>
            </w:r>
          </w:p>
          <w:p>
            <w:pPr>
              <w:spacing w:line="240" w:lineRule="auto"/>
              <w:jc w:val="both"/>
              <w:rPr>
                <w:sz w:val="18"/>
                <w:szCs w:val="18"/>
              </w:rPr>
            </w:pPr>
            <w:r>
              <w:rPr>
                <w:sz w:val="18"/>
                <w:szCs w:val="18"/>
              </w:rPr>
              <w:t>责任和</w:t>
            </w:r>
          </w:p>
          <w:p>
            <w:pPr>
              <w:spacing w:line="240" w:lineRule="auto"/>
              <w:jc w:val="both"/>
              <w:rPr>
                <w:sz w:val="18"/>
                <w:szCs w:val="18"/>
              </w:rPr>
            </w:pPr>
            <w:r>
              <w:rPr>
                <w:sz w:val="18"/>
                <w:szCs w:val="18"/>
              </w:rPr>
              <w:t>考核</w:t>
            </w:r>
          </w:p>
          <w:p>
            <w:pPr>
              <w:spacing w:line="240" w:lineRule="auto"/>
              <w:jc w:val="both"/>
              <w:rPr>
                <w:sz w:val="18"/>
                <w:szCs w:val="18"/>
              </w:rPr>
            </w:pPr>
            <w:r>
              <w:rPr>
                <w:sz w:val="18"/>
                <w:szCs w:val="18"/>
              </w:rPr>
              <w:t>制度</w:t>
            </w:r>
          </w:p>
        </w:tc>
        <w:tc>
          <w:tcPr>
            <w:tcW w:w="426" w:type="dxa"/>
            <w:vMerge w:val="restart"/>
            <w:tcMar>
              <w:left w:w="6" w:type="dxa"/>
              <w:right w:w="6" w:type="dxa"/>
            </w:tcMar>
            <w:vAlign w:val="center"/>
          </w:tcPr>
          <w:p>
            <w:pPr>
              <w:spacing w:line="240" w:lineRule="auto"/>
              <w:jc w:val="both"/>
              <w:rPr>
                <w:sz w:val="18"/>
                <w:szCs w:val="18"/>
              </w:rPr>
            </w:pPr>
            <w:r>
              <w:rPr>
                <w:sz w:val="18"/>
                <w:szCs w:val="18"/>
              </w:rPr>
              <w:t>6</w:t>
            </w:r>
          </w:p>
        </w:tc>
        <w:tc>
          <w:tcPr>
            <w:tcW w:w="3583" w:type="dxa"/>
            <w:vMerge w:val="restart"/>
            <w:tcMar>
              <w:left w:w="6" w:type="dxa"/>
              <w:right w:w="6" w:type="dxa"/>
            </w:tcMar>
            <w:vAlign w:val="center"/>
          </w:tcPr>
          <w:p>
            <w:pPr>
              <w:spacing w:line="240" w:lineRule="auto"/>
              <w:rPr>
                <w:sz w:val="18"/>
                <w:szCs w:val="18"/>
              </w:rPr>
            </w:pPr>
            <w:r>
              <w:rPr>
                <w:sz w:val="18"/>
                <w:szCs w:val="18"/>
              </w:rPr>
              <w:t>逐级落实水资源管理责任，建立考核工作体系，考核结果作为县级以上地方人民政府相关领导干部综合考核评价依据。</w:t>
            </w:r>
          </w:p>
        </w:tc>
        <w:tc>
          <w:tcPr>
            <w:tcW w:w="8345" w:type="dxa"/>
            <w:vAlign w:val="center"/>
          </w:tcPr>
          <w:p>
            <w:r>
              <w:rPr>
                <w:sz w:val="18"/>
                <w:szCs w:val="18"/>
              </w:rPr>
              <w:t>27</w:t>
            </w:r>
            <w:r>
              <w:rPr>
                <w:rFonts w:hint="eastAsia"/>
                <w:sz w:val="18"/>
                <w:szCs w:val="18"/>
              </w:rPr>
              <w:t>.</w:t>
            </w:r>
            <w:r>
              <w:rPr>
                <w:sz w:val="18"/>
                <w:szCs w:val="18"/>
              </w:rPr>
              <w:t>出台实行最严格水资源管理考核办法，得0.5分。</w:t>
            </w:r>
          </w:p>
          <w:p>
            <w:r>
              <w:rPr>
                <w:sz w:val="18"/>
                <w:szCs w:val="18"/>
              </w:rPr>
              <w:t>开展辖区内实行最严格水资源管理制度考核工作，得0.5分。</w:t>
            </w:r>
          </w:p>
          <w:p>
            <w:r>
              <w:rPr>
                <w:sz w:val="18"/>
                <w:szCs w:val="18"/>
              </w:rPr>
              <w:t>对辖区内考核结果进行公告，得1分。</w:t>
            </w:r>
          </w:p>
          <w:p>
            <w:pPr>
              <w:adjustRightInd w:val="0"/>
              <w:spacing w:line="240" w:lineRule="auto"/>
              <w:ind w:firstLine="360" w:firstLineChars="200"/>
              <w:rPr>
                <w:color w:val="auto"/>
                <w:sz w:val="18"/>
                <w:szCs w:val="18"/>
              </w:rPr>
            </w:pPr>
            <w:r>
              <w:rPr>
                <w:sz w:val="18"/>
                <w:szCs w:val="18"/>
              </w:rPr>
              <w:t>考核结果纳入地方人民政府主要领导干部综合考核评价，得1分。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1" w:type="dxa"/>
            <w:vMerge w:val="continue"/>
            <w:tcMar>
              <w:left w:w="6" w:type="dxa"/>
              <w:right w:w="6" w:type="dxa"/>
            </w:tcMar>
            <w:vAlign w:val="center"/>
          </w:tcPr>
          <w:p>
            <w:pPr>
              <w:spacing w:line="240" w:lineRule="auto"/>
              <w:jc w:val="both"/>
              <w:rPr>
                <w:sz w:val="18"/>
                <w:szCs w:val="18"/>
              </w:rPr>
            </w:pPr>
          </w:p>
        </w:tc>
        <w:tc>
          <w:tcPr>
            <w:tcW w:w="423" w:type="dxa"/>
            <w:vMerge w:val="continue"/>
            <w:tcMar>
              <w:left w:w="6" w:type="dxa"/>
              <w:right w:w="6" w:type="dxa"/>
            </w:tcMar>
            <w:vAlign w:val="center"/>
          </w:tcPr>
          <w:p>
            <w:pPr>
              <w:spacing w:line="240" w:lineRule="auto"/>
              <w:jc w:val="both"/>
              <w:rPr>
                <w:sz w:val="18"/>
                <w:szCs w:val="18"/>
              </w:rPr>
            </w:pPr>
          </w:p>
        </w:tc>
        <w:tc>
          <w:tcPr>
            <w:tcW w:w="570" w:type="dxa"/>
            <w:vMerge w:val="continue"/>
            <w:tcMar>
              <w:left w:w="6" w:type="dxa"/>
              <w:right w:w="6" w:type="dxa"/>
            </w:tcMar>
            <w:vAlign w:val="center"/>
          </w:tcPr>
          <w:p>
            <w:pPr>
              <w:spacing w:line="240" w:lineRule="auto"/>
              <w:jc w:val="both"/>
              <w:rPr>
                <w:sz w:val="18"/>
                <w:szCs w:val="18"/>
              </w:rPr>
            </w:pPr>
          </w:p>
        </w:tc>
        <w:tc>
          <w:tcPr>
            <w:tcW w:w="426" w:type="dxa"/>
            <w:vMerge w:val="continue"/>
            <w:tcMar>
              <w:left w:w="6" w:type="dxa"/>
              <w:right w:w="6" w:type="dxa"/>
            </w:tcMar>
            <w:vAlign w:val="center"/>
          </w:tcPr>
          <w:p>
            <w:pPr>
              <w:spacing w:line="240" w:lineRule="auto"/>
              <w:jc w:val="both"/>
              <w:rPr>
                <w:sz w:val="18"/>
                <w:szCs w:val="18"/>
              </w:rPr>
            </w:pPr>
          </w:p>
        </w:tc>
        <w:tc>
          <w:tcPr>
            <w:tcW w:w="3583" w:type="dxa"/>
            <w:vMerge w:val="continue"/>
            <w:tcMar>
              <w:left w:w="6" w:type="dxa"/>
              <w:right w:w="6" w:type="dxa"/>
            </w:tcMar>
            <w:vAlign w:val="center"/>
          </w:tcPr>
          <w:p>
            <w:pPr>
              <w:spacing w:line="240" w:lineRule="auto"/>
              <w:rPr>
                <w:sz w:val="18"/>
                <w:szCs w:val="18"/>
              </w:rPr>
            </w:pPr>
          </w:p>
        </w:tc>
        <w:tc>
          <w:tcPr>
            <w:tcW w:w="8345" w:type="dxa"/>
            <w:vAlign w:val="center"/>
          </w:tcPr>
          <w:p>
            <w:r>
              <w:rPr>
                <w:sz w:val="18"/>
                <w:szCs w:val="18"/>
              </w:rPr>
              <w:t>28</w:t>
            </w:r>
            <w:r>
              <w:rPr>
                <w:rFonts w:hint="eastAsia"/>
                <w:sz w:val="18"/>
                <w:szCs w:val="18"/>
              </w:rPr>
              <w:t>.</w:t>
            </w:r>
            <w:r>
              <w:rPr>
                <w:sz w:val="18"/>
                <w:szCs w:val="18"/>
              </w:rPr>
              <w:t>按要求报送2015年度自查材料，得3分。</w:t>
            </w:r>
          </w:p>
          <w:p>
            <w:pPr>
              <w:adjustRightInd w:val="0"/>
              <w:spacing w:line="240" w:lineRule="auto"/>
              <w:ind w:firstLine="360" w:firstLineChars="200"/>
              <w:rPr>
                <w:sz w:val="18"/>
                <w:szCs w:val="18"/>
              </w:rPr>
            </w:pPr>
            <w:r>
              <w:rPr>
                <w:sz w:val="18"/>
                <w:szCs w:val="18"/>
              </w:rPr>
              <w:t>自查材料未按报送时间及格式要求报送的，扣2分；2014年度考核存在问题整改情况未按时间要求报送，扣1分；未报送整改材料的或整改不到位的，扣2分。本项合计扣分不超过3分。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1" w:type="dxa"/>
            <w:vMerge w:val="continue"/>
            <w:tcMar>
              <w:left w:w="6" w:type="dxa"/>
              <w:right w:w="6" w:type="dxa"/>
            </w:tcMar>
            <w:vAlign w:val="center"/>
          </w:tcPr>
          <w:p>
            <w:pPr>
              <w:spacing w:line="240" w:lineRule="auto"/>
              <w:jc w:val="both"/>
              <w:rPr>
                <w:sz w:val="18"/>
                <w:szCs w:val="18"/>
              </w:rPr>
            </w:pPr>
          </w:p>
        </w:tc>
        <w:tc>
          <w:tcPr>
            <w:tcW w:w="423" w:type="dxa"/>
            <w:vMerge w:val="restart"/>
            <w:tcMar>
              <w:left w:w="6" w:type="dxa"/>
              <w:right w:w="6" w:type="dxa"/>
            </w:tcMar>
            <w:vAlign w:val="center"/>
          </w:tcPr>
          <w:p>
            <w:pPr>
              <w:spacing w:line="240" w:lineRule="auto"/>
              <w:jc w:val="both"/>
              <w:rPr>
                <w:sz w:val="18"/>
                <w:szCs w:val="18"/>
              </w:rPr>
            </w:pPr>
            <w:r>
              <w:rPr>
                <w:sz w:val="18"/>
                <w:szCs w:val="18"/>
              </w:rPr>
              <w:t>14</w:t>
            </w:r>
          </w:p>
        </w:tc>
        <w:tc>
          <w:tcPr>
            <w:tcW w:w="570" w:type="dxa"/>
            <w:vMerge w:val="restart"/>
            <w:tcMar>
              <w:left w:w="6" w:type="dxa"/>
              <w:right w:w="6" w:type="dxa"/>
            </w:tcMar>
            <w:vAlign w:val="center"/>
          </w:tcPr>
          <w:p>
            <w:pPr>
              <w:spacing w:line="240" w:lineRule="auto"/>
              <w:jc w:val="both"/>
              <w:rPr>
                <w:sz w:val="18"/>
                <w:szCs w:val="18"/>
              </w:rPr>
            </w:pPr>
            <w:r>
              <w:rPr>
                <w:sz w:val="18"/>
                <w:szCs w:val="18"/>
              </w:rPr>
              <w:t>健全</w:t>
            </w:r>
          </w:p>
          <w:p>
            <w:pPr>
              <w:spacing w:line="240" w:lineRule="auto"/>
              <w:jc w:val="both"/>
              <w:rPr>
                <w:sz w:val="18"/>
                <w:szCs w:val="18"/>
              </w:rPr>
            </w:pPr>
            <w:r>
              <w:rPr>
                <w:sz w:val="18"/>
                <w:szCs w:val="18"/>
              </w:rPr>
              <w:t>水资源</w:t>
            </w:r>
          </w:p>
          <w:p>
            <w:pPr>
              <w:spacing w:line="240" w:lineRule="auto"/>
              <w:jc w:val="both"/>
              <w:rPr>
                <w:sz w:val="18"/>
                <w:szCs w:val="18"/>
              </w:rPr>
            </w:pPr>
            <w:r>
              <w:rPr>
                <w:sz w:val="18"/>
                <w:szCs w:val="18"/>
              </w:rPr>
              <w:t>监控</w:t>
            </w:r>
          </w:p>
          <w:p>
            <w:pPr>
              <w:spacing w:line="240" w:lineRule="auto"/>
              <w:jc w:val="both"/>
              <w:rPr>
                <w:sz w:val="18"/>
                <w:szCs w:val="18"/>
              </w:rPr>
            </w:pPr>
            <w:r>
              <w:rPr>
                <w:sz w:val="18"/>
                <w:szCs w:val="18"/>
              </w:rPr>
              <w:t>体系</w:t>
            </w:r>
          </w:p>
        </w:tc>
        <w:tc>
          <w:tcPr>
            <w:tcW w:w="426" w:type="dxa"/>
            <w:vMerge w:val="restart"/>
            <w:tcMar>
              <w:left w:w="6" w:type="dxa"/>
              <w:right w:w="6" w:type="dxa"/>
            </w:tcMar>
            <w:vAlign w:val="center"/>
          </w:tcPr>
          <w:p>
            <w:pPr>
              <w:spacing w:line="240" w:lineRule="auto"/>
              <w:jc w:val="both"/>
              <w:rPr>
                <w:sz w:val="18"/>
                <w:szCs w:val="18"/>
              </w:rPr>
            </w:pPr>
            <w:r>
              <w:rPr>
                <w:sz w:val="18"/>
                <w:szCs w:val="18"/>
              </w:rPr>
              <w:t>7</w:t>
            </w:r>
          </w:p>
        </w:tc>
        <w:tc>
          <w:tcPr>
            <w:tcW w:w="3583" w:type="dxa"/>
            <w:vMerge w:val="restart"/>
            <w:tcMar>
              <w:left w:w="6" w:type="dxa"/>
              <w:right w:w="6" w:type="dxa"/>
            </w:tcMar>
            <w:vAlign w:val="center"/>
          </w:tcPr>
          <w:p>
            <w:pPr>
              <w:spacing w:line="240" w:lineRule="auto"/>
              <w:rPr>
                <w:sz w:val="18"/>
                <w:szCs w:val="18"/>
              </w:rPr>
            </w:pPr>
            <w:r>
              <w:rPr>
                <w:sz w:val="18"/>
                <w:szCs w:val="18"/>
              </w:rPr>
              <w:t>加强水质水量监测能力建设；加快应急机动监测能力建设；提高水资源监控能力；完善水资源信息统计与发布体系。</w:t>
            </w:r>
          </w:p>
        </w:tc>
        <w:tc>
          <w:tcPr>
            <w:tcW w:w="8345" w:type="dxa"/>
            <w:vAlign w:val="center"/>
          </w:tcPr>
          <w:p>
            <w:r>
              <w:rPr>
                <w:sz w:val="18"/>
                <w:szCs w:val="18"/>
              </w:rPr>
              <w:t>29</w:t>
            </w:r>
            <w:r>
              <w:rPr>
                <w:rFonts w:hint="eastAsia"/>
                <w:sz w:val="18"/>
                <w:szCs w:val="18"/>
              </w:rPr>
              <w:t>.</w:t>
            </w:r>
            <w:r>
              <w:rPr>
                <w:sz w:val="18"/>
                <w:szCs w:val="18"/>
              </w:rPr>
              <w:t>用水总量统计，2分：</w:t>
            </w:r>
          </w:p>
          <w:p>
            <w:pPr>
              <w:adjustRightInd w:val="0"/>
              <w:spacing w:line="240" w:lineRule="auto"/>
              <w:ind w:firstLine="360" w:firstLineChars="200"/>
              <w:rPr>
                <w:sz w:val="18"/>
                <w:szCs w:val="18"/>
              </w:rPr>
            </w:pPr>
            <w:r>
              <w:rPr>
                <w:sz w:val="18"/>
                <w:szCs w:val="18"/>
              </w:rPr>
              <w:t>每季度结束后5日</w:t>
            </w:r>
            <w:r>
              <w:rPr>
                <w:rFonts w:hint="eastAsia"/>
                <w:sz w:val="18"/>
                <w:szCs w:val="18"/>
              </w:rPr>
              <w:t>内</w:t>
            </w:r>
            <w:r>
              <w:rPr>
                <w:sz w:val="18"/>
                <w:szCs w:val="18"/>
              </w:rPr>
              <w:t>在水资源管理系统中填报用水总量相关数据，得1分；填报质量符合要求的，得1分。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1" w:type="dxa"/>
            <w:vMerge w:val="continue"/>
            <w:tcMar>
              <w:left w:w="6" w:type="dxa"/>
              <w:right w:w="6" w:type="dxa"/>
            </w:tcMar>
            <w:vAlign w:val="center"/>
          </w:tcPr>
          <w:p>
            <w:pPr>
              <w:spacing w:line="240" w:lineRule="auto"/>
              <w:jc w:val="both"/>
              <w:rPr>
                <w:sz w:val="18"/>
                <w:szCs w:val="18"/>
              </w:rPr>
            </w:pPr>
          </w:p>
        </w:tc>
        <w:tc>
          <w:tcPr>
            <w:tcW w:w="423" w:type="dxa"/>
            <w:vMerge w:val="continue"/>
            <w:tcMar>
              <w:left w:w="6" w:type="dxa"/>
              <w:right w:w="6" w:type="dxa"/>
            </w:tcMar>
            <w:vAlign w:val="center"/>
          </w:tcPr>
          <w:p>
            <w:pPr>
              <w:spacing w:line="240" w:lineRule="auto"/>
              <w:jc w:val="both"/>
              <w:rPr>
                <w:sz w:val="18"/>
                <w:szCs w:val="18"/>
              </w:rPr>
            </w:pPr>
          </w:p>
        </w:tc>
        <w:tc>
          <w:tcPr>
            <w:tcW w:w="570" w:type="dxa"/>
            <w:vMerge w:val="continue"/>
            <w:tcMar>
              <w:left w:w="6" w:type="dxa"/>
              <w:right w:w="6" w:type="dxa"/>
            </w:tcMar>
            <w:vAlign w:val="center"/>
          </w:tcPr>
          <w:p>
            <w:pPr>
              <w:spacing w:line="240" w:lineRule="auto"/>
              <w:jc w:val="both"/>
              <w:rPr>
                <w:sz w:val="18"/>
                <w:szCs w:val="18"/>
              </w:rPr>
            </w:pPr>
          </w:p>
        </w:tc>
        <w:tc>
          <w:tcPr>
            <w:tcW w:w="426" w:type="dxa"/>
            <w:vMerge w:val="continue"/>
            <w:tcMar>
              <w:left w:w="6" w:type="dxa"/>
              <w:right w:w="6" w:type="dxa"/>
            </w:tcMar>
            <w:vAlign w:val="center"/>
          </w:tcPr>
          <w:p>
            <w:pPr>
              <w:spacing w:line="240" w:lineRule="auto"/>
              <w:jc w:val="both"/>
              <w:rPr>
                <w:sz w:val="18"/>
                <w:szCs w:val="18"/>
              </w:rPr>
            </w:pPr>
          </w:p>
        </w:tc>
        <w:tc>
          <w:tcPr>
            <w:tcW w:w="3583" w:type="dxa"/>
            <w:vMerge w:val="continue"/>
            <w:tcMar>
              <w:left w:w="6" w:type="dxa"/>
              <w:right w:w="6" w:type="dxa"/>
            </w:tcMar>
            <w:vAlign w:val="center"/>
          </w:tcPr>
          <w:p>
            <w:pPr>
              <w:spacing w:line="240" w:lineRule="auto"/>
              <w:rPr>
                <w:sz w:val="18"/>
                <w:szCs w:val="18"/>
              </w:rPr>
            </w:pPr>
          </w:p>
        </w:tc>
        <w:tc>
          <w:tcPr>
            <w:tcW w:w="8345" w:type="dxa"/>
            <w:vAlign w:val="center"/>
          </w:tcPr>
          <w:p>
            <w:r>
              <w:rPr>
                <w:sz w:val="18"/>
                <w:szCs w:val="18"/>
              </w:rPr>
              <w:t>30</w:t>
            </w:r>
            <w:r>
              <w:rPr>
                <w:rFonts w:hint="eastAsia"/>
                <w:sz w:val="18"/>
                <w:szCs w:val="18"/>
              </w:rPr>
              <w:t>.</w:t>
            </w:r>
            <w:r>
              <w:rPr>
                <w:sz w:val="18"/>
                <w:szCs w:val="18"/>
              </w:rPr>
              <w:t>水资源公报相关数据上报，得5分。</w:t>
            </w:r>
          </w:p>
          <w:p>
            <w:r>
              <w:rPr>
                <w:sz w:val="18"/>
                <w:szCs w:val="18"/>
              </w:rPr>
              <w:t>按时（1月5日前）报送水资源公报相关数据，得1分；报送材料质量符合要求的，得1分。</w:t>
            </w:r>
          </w:p>
          <w:p>
            <w:r>
              <w:rPr>
                <w:sz w:val="18"/>
                <w:szCs w:val="18"/>
              </w:rPr>
              <w:t>按时（3月1日前）报送水资源年报相关数据，得1分；报送材料质量符合要求的，得1分。</w:t>
            </w:r>
          </w:p>
          <w:p>
            <w:pPr>
              <w:adjustRightInd w:val="0"/>
              <w:spacing w:line="240" w:lineRule="auto"/>
              <w:ind w:firstLine="360" w:firstLineChars="200"/>
              <w:rPr>
                <w:sz w:val="18"/>
                <w:szCs w:val="18"/>
              </w:rPr>
            </w:pPr>
            <w:r>
              <w:rPr>
                <w:sz w:val="18"/>
                <w:szCs w:val="18"/>
              </w:rPr>
              <w:t>按时（每月月初）报送主要河道、沟道、水源地水质状况，得1分。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481" w:type="dxa"/>
            <w:vMerge w:val="continue"/>
            <w:tcMar>
              <w:left w:w="6" w:type="dxa"/>
              <w:right w:w="6" w:type="dxa"/>
            </w:tcMar>
            <w:vAlign w:val="center"/>
          </w:tcPr>
          <w:p>
            <w:pPr>
              <w:spacing w:line="240" w:lineRule="auto"/>
              <w:jc w:val="both"/>
              <w:rPr>
                <w:sz w:val="18"/>
                <w:szCs w:val="18"/>
              </w:rPr>
            </w:pPr>
          </w:p>
        </w:tc>
        <w:tc>
          <w:tcPr>
            <w:tcW w:w="423" w:type="dxa"/>
            <w:tcMar>
              <w:left w:w="6" w:type="dxa"/>
              <w:right w:w="6" w:type="dxa"/>
            </w:tcMar>
            <w:vAlign w:val="center"/>
          </w:tcPr>
          <w:p>
            <w:pPr>
              <w:spacing w:line="240" w:lineRule="auto"/>
              <w:jc w:val="both"/>
              <w:rPr>
                <w:sz w:val="18"/>
                <w:szCs w:val="18"/>
              </w:rPr>
            </w:pPr>
            <w:r>
              <w:rPr>
                <w:sz w:val="18"/>
                <w:szCs w:val="18"/>
              </w:rPr>
              <w:t>15</w:t>
            </w:r>
          </w:p>
        </w:tc>
        <w:tc>
          <w:tcPr>
            <w:tcW w:w="570" w:type="dxa"/>
            <w:tcMar>
              <w:left w:w="6" w:type="dxa"/>
              <w:right w:w="6" w:type="dxa"/>
            </w:tcMar>
            <w:vAlign w:val="center"/>
          </w:tcPr>
          <w:p>
            <w:pPr>
              <w:spacing w:line="240" w:lineRule="auto"/>
              <w:jc w:val="both"/>
              <w:rPr>
                <w:sz w:val="18"/>
                <w:szCs w:val="18"/>
              </w:rPr>
            </w:pPr>
            <w:r>
              <w:rPr>
                <w:sz w:val="18"/>
                <w:szCs w:val="18"/>
              </w:rPr>
              <w:t>完善</w:t>
            </w:r>
          </w:p>
          <w:p>
            <w:pPr>
              <w:spacing w:line="240" w:lineRule="auto"/>
              <w:jc w:val="both"/>
              <w:rPr>
                <w:sz w:val="18"/>
                <w:szCs w:val="18"/>
              </w:rPr>
            </w:pPr>
            <w:r>
              <w:rPr>
                <w:sz w:val="18"/>
                <w:szCs w:val="18"/>
              </w:rPr>
              <w:t>水资源</w:t>
            </w:r>
          </w:p>
          <w:p>
            <w:pPr>
              <w:spacing w:line="240" w:lineRule="auto"/>
              <w:jc w:val="both"/>
              <w:rPr>
                <w:sz w:val="18"/>
                <w:szCs w:val="18"/>
              </w:rPr>
            </w:pPr>
            <w:r>
              <w:rPr>
                <w:sz w:val="18"/>
                <w:szCs w:val="18"/>
              </w:rPr>
              <w:t>管理</w:t>
            </w:r>
          </w:p>
          <w:p>
            <w:pPr>
              <w:spacing w:line="240" w:lineRule="auto"/>
              <w:jc w:val="both"/>
              <w:rPr>
                <w:sz w:val="18"/>
                <w:szCs w:val="18"/>
              </w:rPr>
            </w:pPr>
            <w:r>
              <w:rPr>
                <w:sz w:val="18"/>
                <w:szCs w:val="18"/>
              </w:rPr>
              <w:t>体制</w:t>
            </w:r>
          </w:p>
        </w:tc>
        <w:tc>
          <w:tcPr>
            <w:tcW w:w="426" w:type="dxa"/>
            <w:tcMar>
              <w:left w:w="6" w:type="dxa"/>
              <w:right w:w="6" w:type="dxa"/>
            </w:tcMar>
            <w:vAlign w:val="center"/>
          </w:tcPr>
          <w:p>
            <w:pPr>
              <w:spacing w:line="240" w:lineRule="auto"/>
              <w:jc w:val="both"/>
              <w:rPr>
                <w:sz w:val="18"/>
                <w:szCs w:val="18"/>
              </w:rPr>
            </w:pPr>
            <w:r>
              <w:rPr>
                <w:sz w:val="18"/>
                <w:szCs w:val="18"/>
              </w:rPr>
              <w:t>6</w:t>
            </w:r>
          </w:p>
        </w:tc>
        <w:tc>
          <w:tcPr>
            <w:tcW w:w="3583" w:type="dxa"/>
            <w:tcMar>
              <w:left w:w="6" w:type="dxa"/>
              <w:right w:w="6" w:type="dxa"/>
            </w:tcMar>
            <w:vAlign w:val="center"/>
          </w:tcPr>
          <w:p>
            <w:pPr>
              <w:spacing w:line="240" w:lineRule="auto"/>
              <w:rPr>
                <w:sz w:val="18"/>
                <w:szCs w:val="18"/>
              </w:rPr>
            </w:pPr>
            <w:r>
              <w:rPr>
                <w:sz w:val="18"/>
                <w:szCs w:val="18"/>
              </w:rPr>
              <w:t>完善流域管理与行政区域管理相结合的水资源管理体制；强化城乡水资源统一管理。</w:t>
            </w:r>
          </w:p>
        </w:tc>
        <w:tc>
          <w:tcPr>
            <w:tcW w:w="8345" w:type="dxa"/>
            <w:vAlign w:val="center"/>
          </w:tcPr>
          <w:p>
            <w:r>
              <w:rPr>
                <w:sz w:val="18"/>
                <w:szCs w:val="18"/>
              </w:rPr>
              <w:t>3</w:t>
            </w:r>
            <w:r>
              <w:rPr>
                <w:rFonts w:hint="eastAsia"/>
                <w:sz w:val="18"/>
                <w:szCs w:val="18"/>
              </w:rPr>
              <w:t>1.</w:t>
            </w:r>
            <w:r>
              <w:rPr>
                <w:sz w:val="18"/>
                <w:szCs w:val="18"/>
              </w:rPr>
              <w:t>水资源管理体制，6分：</w:t>
            </w:r>
          </w:p>
          <w:p>
            <w:r>
              <w:rPr>
                <w:sz w:val="18"/>
                <w:szCs w:val="18"/>
              </w:rPr>
              <w:t>市、县两级有明确的水资源管理专职机构和人员，得2.5分；未提供市、县两级专职机构和人员清单，扣1分。</w:t>
            </w:r>
          </w:p>
          <w:p>
            <w:r>
              <w:rPr>
                <w:color w:val="000000"/>
                <w:sz w:val="18"/>
                <w:szCs w:val="18"/>
              </w:rPr>
              <w:t>成立专门节水管理机构的</w:t>
            </w:r>
            <w:r>
              <w:rPr>
                <w:rFonts w:hint="eastAsia"/>
                <w:color w:val="000000"/>
                <w:sz w:val="18"/>
                <w:szCs w:val="18"/>
              </w:rPr>
              <w:t>县</w:t>
            </w:r>
            <w:r>
              <w:rPr>
                <w:color w:val="000000"/>
                <w:sz w:val="18"/>
                <w:szCs w:val="18"/>
              </w:rPr>
              <w:t>级行政区在全市的占比，以本级行政区政府或编委批准文件为评分依据，满分2.5分，按不同占比分档赋分。</w:t>
            </w:r>
          </w:p>
          <w:p>
            <w:pPr>
              <w:adjustRightInd w:val="0"/>
              <w:snapToGrid w:val="0"/>
              <w:spacing w:line="280" w:lineRule="exact"/>
              <w:ind w:firstLine="360" w:firstLineChars="200"/>
              <w:rPr>
                <w:sz w:val="18"/>
                <w:szCs w:val="18"/>
              </w:rPr>
            </w:pPr>
            <w:r>
              <w:rPr>
                <w:sz w:val="18"/>
                <w:szCs w:val="18"/>
              </w:rPr>
              <w:t>服从自治区统一管理，得1分，由自治区水行政主管部门评分。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1" w:type="dxa"/>
            <w:vMerge w:val="continue"/>
            <w:tcMar>
              <w:left w:w="6" w:type="dxa"/>
              <w:right w:w="6" w:type="dxa"/>
            </w:tcMar>
            <w:vAlign w:val="center"/>
          </w:tcPr>
          <w:p>
            <w:pPr>
              <w:spacing w:line="240" w:lineRule="auto"/>
              <w:jc w:val="both"/>
              <w:rPr>
                <w:sz w:val="18"/>
                <w:szCs w:val="18"/>
              </w:rPr>
            </w:pPr>
          </w:p>
        </w:tc>
        <w:tc>
          <w:tcPr>
            <w:tcW w:w="423" w:type="dxa"/>
            <w:vMerge w:val="restart"/>
            <w:tcMar>
              <w:left w:w="6" w:type="dxa"/>
              <w:right w:w="6" w:type="dxa"/>
            </w:tcMar>
            <w:vAlign w:val="center"/>
          </w:tcPr>
          <w:p>
            <w:pPr>
              <w:spacing w:line="240" w:lineRule="auto"/>
              <w:jc w:val="both"/>
              <w:rPr>
                <w:sz w:val="18"/>
                <w:szCs w:val="18"/>
              </w:rPr>
            </w:pPr>
            <w:r>
              <w:rPr>
                <w:sz w:val="18"/>
                <w:szCs w:val="18"/>
              </w:rPr>
              <w:t>16</w:t>
            </w:r>
          </w:p>
        </w:tc>
        <w:tc>
          <w:tcPr>
            <w:tcW w:w="570" w:type="dxa"/>
            <w:vMerge w:val="restart"/>
            <w:tcMar>
              <w:left w:w="6" w:type="dxa"/>
              <w:right w:w="6" w:type="dxa"/>
            </w:tcMar>
            <w:vAlign w:val="center"/>
          </w:tcPr>
          <w:p>
            <w:pPr>
              <w:spacing w:line="240" w:lineRule="auto"/>
              <w:jc w:val="both"/>
              <w:rPr>
                <w:sz w:val="18"/>
                <w:szCs w:val="18"/>
              </w:rPr>
            </w:pPr>
            <w:r>
              <w:rPr>
                <w:sz w:val="18"/>
                <w:szCs w:val="18"/>
              </w:rPr>
              <w:t>完善</w:t>
            </w:r>
          </w:p>
          <w:p>
            <w:pPr>
              <w:spacing w:line="240" w:lineRule="auto"/>
              <w:jc w:val="both"/>
              <w:rPr>
                <w:sz w:val="18"/>
                <w:szCs w:val="18"/>
              </w:rPr>
            </w:pPr>
            <w:r>
              <w:rPr>
                <w:sz w:val="18"/>
                <w:szCs w:val="18"/>
              </w:rPr>
              <w:t>水资源</w:t>
            </w:r>
          </w:p>
          <w:p>
            <w:pPr>
              <w:spacing w:line="240" w:lineRule="auto"/>
              <w:jc w:val="both"/>
              <w:rPr>
                <w:sz w:val="18"/>
                <w:szCs w:val="18"/>
              </w:rPr>
            </w:pPr>
            <w:r>
              <w:rPr>
                <w:sz w:val="18"/>
                <w:szCs w:val="18"/>
              </w:rPr>
              <w:t>管理</w:t>
            </w:r>
          </w:p>
          <w:p>
            <w:pPr>
              <w:spacing w:line="240" w:lineRule="auto"/>
              <w:jc w:val="both"/>
              <w:rPr>
                <w:sz w:val="18"/>
                <w:szCs w:val="18"/>
              </w:rPr>
            </w:pPr>
            <w:r>
              <w:rPr>
                <w:sz w:val="18"/>
                <w:szCs w:val="18"/>
              </w:rPr>
              <w:t>投入</w:t>
            </w:r>
          </w:p>
          <w:p>
            <w:pPr>
              <w:spacing w:line="240" w:lineRule="auto"/>
              <w:jc w:val="both"/>
              <w:rPr>
                <w:sz w:val="18"/>
                <w:szCs w:val="18"/>
              </w:rPr>
            </w:pPr>
            <w:r>
              <w:rPr>
                <w:sz w:val="18"/>
                <w:szCs w:val="18"/>
              </w:rPr>
              <w:t>机制</w:t>
            </w:r>
          </w:p>
        </w:tc>
        <w:tc>
          <w:tcPr>
            <w:tcW w:w="426" w:type="dxa"/>
            <w:vMerge w:val="restart"/>
            <w:tcMar>
              <w:left w:w="6" w:type="dxa"/>
              <w:right w:w="6" w:type="dxa"/>
            </w:tcMar>
            <w:vAlign w:val="center"/>
          </w:tcPr>
          <w:p>
            <w:pPr>
              <w:spacing w:line="240" w:lineRule="auto"/>
              <w:jc w:val="both"/>
              <w:rPr>
                <w:sz w:val="18"/>
                <w:szCs w:val="18"/>
              </w:rPr>
            </w:pPr>
            <w:r>
              <w:rPr>
                <w:sz w:val="18"/>
                <w:szCs w:val="18"/>
              </w:rPr>
              <w:t>6</w:t>
            </w:r>
          </w:p>
        </w:tc>
        <w:tc>
          <w:tcPr>
            <w:tcW w:w="3583" w:type="dxa"/>
            <w:vMerge w:val="restart"/>
            <w:tcMar>
              <w:left w:w="6" w:type="dxa"/>
              <w:right w:w="6" w:type="dxa"/>
            </w:tcMar>
            <w:vAlign w:val="center"/>
          </w:tcPr>
          <w:p>
            <w:pPr>
              <w:spacing w:line="240" w:lineRule="auto"/>
              <w:rPr>
                <w:sz w:val="18"/>
                <w:szCs w:val="18"/>
              </w:rPr>
            </w:pPr>
            <w:r>
              <w:rPr>
                <w:sz w:val="18"/>
                <w:szCs w:val="18"/>
              </w:rPr>
              <w:t>建立长效、稳定的水资源管理投入机制，加大财政资金对水资源节约、保护和管理的支持力度。</w:t>
            </w:r>
          </w:p>
        </w:tc>
        <w:tc>
          <w:tcPr>
            <w:tcW w:w="8345" w:type="dxa"/>
            <w:vAlign w:val="center"/>
          </w:tcPr>
          <w:p>
            <w:r>
              <w:rPr>
                <w:sz w:val="18"/>
                <w:szCs w:val="18"/>
              </w:rPr>
              <w:t>32</w:t>
            </w:r>
            <w:r>
              <w:rPr>
                <w:rFonts w:hint="eastAsia"/>
                <w:sz w:val="18"/>
                <w:szCs w:val="18"/>
              </w:rPr>
              <w:t>.</w:t>
            </w:r>
            <w:r>
              <w:rPr>
                <w:sz w:val="18"/>
                <w:szCs w:val="18"/>
              </w:rPr>
              <w:t>国家重点推进的水生态文明、节水型社会建设、水资源监控能力建设有固定投入渠道，各得1分。</w:t>
            </w:r>
          </w:p>
          <w:p>
            <w:pPr>
              <w:adjustRightInd w:val="0"/>
              <w:spacing w:line="240" w:lineRule="auto"/>
              <w:ind w:firstLine="360" w:firstLineChars="200"/>
              <w:rPr>
                <w:sz w:val="18"/>
                <w:szCs w:val="18"/>
              </w:rPr>
            </w:pPr>
            <w:r>
              <w:rPr>
                <w:sz w:val="18"/>
                <w:szCs w:val="18"/>
              </w:rPr>
              <w:t>财政部门未提供投入渠道证明文件，缺一项扣1分。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1" w:type="dxa"/>
            <w:vMerge w:val="continue"/>
            <w:tcMar>
              <w:left w:w="6" w:type="dxa"/>
              <w:right w:w="6" w:type="dxa"/>
            </w:tcMar>
            <w:vAlign w:val="center"/>
          </w:tcPr>
          <w:p>
            <w:pPr>
              <w:spacing w:line="240" w:lineRule="auto"/>
              <w:jc w:val="both"/>
              <w:rPr>
                <w:sz w:val="18"/>
                <w:szCs w:val="18"/>
              </w:rPr>
            </w:pPr>
          </w:p>
        </w:tc>
        <w:tc>
          <w:tcPr>
            <w:tcW w:w="423" w:type="dxa"/>
            <w:vMerge w:val="continue"/>
            <w:tcMar>
              <w:left w:w="6" w:type="dxa"/>
              <w:right w:w="6" w:type="dxa"/>
            </w:tcMar>
            <w:vAlign w:val="center"/>
          </w:tcPr>
          <w:p>
            <w:pPr>
              <w:spacing w:line="240" w:lineRule="auto"/>
              <w:jc w:val="both"/>
              <w:rPr>
                <w:sz w:val="18"/>
                <w:szCs w:val="18"/>
              </w:rPr>
            </w:pPr>
          </w:p>
        </w:tc>
        <w:tc>
          <w:tcPr>
            <w:tcW w:w="570" w:type="dxa"/>
            <w:vMerge w:val="continue"/>
            <w:tcMar>
              <w:left w:w="6" w:type="dxa"/>
              <w:right w:w="6" w:type="dxa"/>
            </w:tcMar>
            <w:vAlign w:val="center"/>
          </w:tcPr>
          <w:p>
            <w:pPr>
              <w:spacing w:line="240" w:lineRule="auto"/>
              <w:jc w:val="both"/>
              <w:rPr>
                <w:sz w:val="18"/>
                <w:szCs w:val="18"/>
              </w:rPr>
            </w:pPr>
          </w:p>
        </w:tc>
        <w:tc>
          <w:tcPr>
            <w:tcW w:w="426" w:type="dxa"/>
            <w:vMerge w:val="continue"/>
            <w:tcMar>
              <w:left w:w="6" w:type="dxa"/>
              <w:right w:w="6" w:type="dxa"/>
            </w:tcMar>
            <w:vAlign w:val="center"/>
          </w:tcPr>
          <w:p>
            <w:pPr>
              <w:spacing w:line="240" w:lineRule="auto"/>
              <w:jc w:val="both"/>
              <w:rPr>
                <w:sz w:val="18"/>
                <w:szCs w:val="18"/>
              </w:rPr>
            </w:pPr>
          </w:p>
        </w:tc>
        <w:tc>
          <w:tcPr>
            <w:tcW w:w="3583" w:type="dxa"/>
            <w:vMerge w:val="continue"/>
            <w:tcMar>
              <w:left w:w="6" w:type="dxa"/>
              <w:right w:w="6" w:type="dxa"/>
            </w:tcMar>
            <w:vAlign w:val="center"/>
          </w:tcPr>
          <w:p>
            <w:pPr>
              <w:spacing w:line="240" w:lineRule="auto"/>
              <w:rPr>
                <w:sz w:val="18"/>
                <w:szCs w:val="18"/>
              </w:rPr>
            </w:pPr>
          </w:p>
        </w:tc>
        <w:tc>
          <w:tcPr>
            <w:tcW w:w="8345" w:type="dxa"/>
            <w:vAlign w:val="center"/>
          </w:tcPr>
          <w:p>
            <w:r>
              <w:rPr>
                <w:sz w:val="18"/>
                <w:szCs w:val="18"/>
              </w:rPr>
              <w:t>33</w:t>
            </w:r>
            <w:r>
              <w:rPr>
                <w:rFonts w:hint="eastAsia"/>
                <w:sz w:val="18"/>
                <w:szCs w:val="18"/>
              </w:rPr>
              <w:t>.</w:t>
            </w:r>
            <w:r>
              <w:rPr>
                <w:sz w:val="18"/>
                <w:szCs w:val="18"/>
              </w:rPr>
              <w:t>出台建立长效、稳定的水资源管理投入机制的专项文件且按文件执行，得2分；已出台相关文件但未执行，得1分；未制定文件或办法，有资金投入也不得分。</w:t>
            </w:r>
          </w:p>
          <w:p>
            <w:pPr>
              <w:adjustRightInd w:val="0"/>
              <w:spacing w:line="240" w:lineRule="auto"/>
              <w:ind w:firstLine="360" w:firstLineChars="200"/>
              <w:rPr>
                <w:sz w:val="18"/>
                <w:szCs w:val="18"/>
              </w:rPr>
            </w:pPr>
            <w:r>
              <w:rPr>
                <w:sz w:val="18"/>
                <w:szCs w:val="18"/>
              </w:rPr>
              <w:t>财政资金对水资源节约、保护和管理的投入规模或比例增加，得1分；不增加的不得分（不包括工程投资）。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jc w:val="center"/>
        </w:trPr>
        <w:tc>
          <w:tcPr>
            <w:tcW w:w="481" w:type="dxa"/>
            <w:vMerge w:val="continue"/>
            <w:tcMar>
              <w:left w:w="6" w:type="dxa"/>
              <w:right w:w="6" w:type="dxa"/>
            </w:tcMar>
            <w:vAlign w:val="center"/>
          </w:tcPr>
          <w:p>
            <w:pPr>
              <w:spacing w:line="240" w:lineRule="auto"/>
              <w:jc w:val="both"/>
              <w:rPr>
                <w:sz w:val="18"/>
                <w:szCs w:val="18"/>
              </w:rPr>
            </w:pPr>
          </w:p>
        </w:tc>
        <w:tc>
          <w:tcPr>
            <w:tcW w:w="423" w:type="dxa"/>
            <w:vMerge w:val="restart"/>
            <w:tcMar>
              <w:left w:w="6" w:type="dxa"/>
              <w:right w:w="6" w:type="dxa"/>
            </w:tcMar>
            <w:vAlign w:val="center"/>
          </w:tcPr>
          <w:p>
            <w:pPr>
              <w:spacing w:line="240" w:lineRule="auto"/>
              <w:jc w:val="both"/>
              <w:rPr>
                <w:sz w:val="18"/>
                <w:szCs w:val="18"/>
              </w:rPr>
            </w:pPr>
            <w:r>
              <w:rPr>
                <w:sz w:val="18"/>
                <w:szCs w:val="18"/>
              </w:rPr>
              <w:t>17</w:t>
            </w:r>
          </w:p>
        </w:tc>
        <w:tc>
          <w:tcPr>
            <w:tcW w:w="570" w:type="dxa"/>
            <w:vMerge w:val="restart"/>
            <w:tcMar>
              <w:left w:w="6" w:type="dxa"/>
              <w:right w:w="6" w:type="dxa"/>
            </w:tcMar>
            <w:vAlign w:val="center"/>
          </w:tcPr>
          <w:p>
            <w:pPr>
              <w:spacing w:line="240" w:lineRule="auto"/>
              <w:jc w:val="both"/>
              <w:rPr>
                <w:sz w:val="18"/>
                <w:szCs w:val="18"/>
              </w:rPr>
            </w:pPr>
            <w:r>
              <w:rPr>
                <w:sz w:val="18"/>
                <w:szCs w:val="18"/>
              </w:rPr>
              <w:t>健全</w:t>
            </w:r>
          </w:p>
          <w:p>
            <w:pPr>
              <w:spacing w:line="240" w:lineRule="auto"/>
              <w:jc w:val="both"/>
              <w:rPr>
                <w:sz w:val="18"/>
                <w:szCs w:val="18"/>
              </w:rPr>
            </w:pPr>
            <w:r>
              <w:rPr>
                <w:sz w:val="18"/>
                <w:szCs w:val="18"/>
              </w:rPr>
              <w:t>政策</w:t>
            </w:r>
          </w:p>
          <w:p>
            <w:pPr>
              <w:spacing w:line="240" w:lineRule="auto"/>
              <w:jc w:val="both"/>
              <w:rPr>
                <w:sz w:val="18"/>
                <w:szCs w:val="18"/>
              </w:rPr>
            </w:pPr>
            <w:r>
              <w:rPr>
                <w:sz w:val="18"/>
                <w:szCs w:val="18"/>
              </w:rPr>
              <w:t>法规和</w:t>
            </w:r>
          </w:p>
          <w:p>
            <w:pPr>
              <w:spacing w:line="240" w:lineRule="auto"/>
              <w:jc w:val="both"/>
              <w:rPr>
                <w:sz w:val="18"/>
                <w:szCs w:val="18"/>
              </w:rPr>
            </w:pPr>
            <w:r>
              <w:rPr>
                <w:sz w:val="18"/>
                <w:szCs w:val="18"/>
              </w:rPr>
              <w:t>社会</w:t>
            </w:r>
          </w:p>
          <w:p>
            <w:pPr>
              <w:spacing w:line="240" w:lineRule="auto"/>
              <w:jc w:val="both"/>
              <w:rPr>
                <w:sz w:val="18"/>
                <w:szCs w:val="18"/>
              </w:rPr>
            </w:pPr>
            <w:r>
              <w:rPr>
                <w:sz w:val="18"/>
                <w:szCs w:val="18"/>
              </w:rPr>
              <w:t>监督</w:t>
            </w:r>
          </w:p>
          <w:p>
            <w:pPr>
              <w:spacing w:line="240" w:lineRule="auto"/>
              <w:jc w:val="both"/>
              <w:rPr>
                <w:sz w:val="18"/>
                <w:szCs w:val="18"/>
              </w:rPr>
            </w:pPr>
            <w:r>
              <w:rPr>
                <w:sz w:val="18"/>
                <w:szCs w:val="18"/>
              </w:rPr>
              <w:t>机制</w:t>
            </w:r>
          </w:p>
        </w:tc>
        <w:tc>
          <w:tcPr>
            <w:tcW w:w="426" w:type="dxa"/>
            <w:vMerge w:val="restart"/>
            <w:tcMar>
              <w:left w:w="6" w:type="dxa"/>
              <w:right w:w="6" w:type="dxa"/>
            </w:tcMar>
            <w:vAlign w:val="center"/>
          </w:tcPr>
          <w:p>
            <w:pPr>
              <w:spacing w:line="240" w:lineRule="auto"/>
              <w:jc w:val="both"/>
              <w:rPr>
                <w:sz w:val="18"/>
                <w:szCs w:val="18"/>
              </w:rPr>
            </w:pPr>
            <w:r>
              <w:rPr>
                <w:sz w:val="18"/>
                <w:szCs w:val="18"/>
              </w:rPr>
              <w:t>6</w:t>
            </w:r>
          </w:p>
        </w:tc>
        <w:tc>
          <w:tcPr>
            <w:tcW w:w="3583" w:type="dxa"/>
            <w:vMerge w:val="restart"/>
            <w:tcMar>
              <w:left w:w="6" w:type="dxa"/>
              <w:right w:w="6" w:type="dxa"/>
            </w:tcMar>
            <w:vAlign w:val="center"/>
          </w:tcPr>
          <w:p>
            <w:pPr>
              <w:spacing w:line="240" w:lineRule="auto"/>
              <w:rPr>
                <w:sz w:val="18"/>
                <w:szCs w:val="18"/>
              </w:rPr>
            </w:pPr>
            <w:r>
              <w:rPr>
                <w:sz w:val="18"/>
                <w:szCs w:val="18"/>
              </w:rPr>
              <w:t>深化水权制度改革；开展水情宣传教育，强化社会舆论监督，完善公众参与机制。</w:t>
            </w:r>
          </w:p>
        </w:tc>
        <w:tc>
          <w:tcPr>
            <w:tcW w:w="8345" w:type="dxa"/>
            <w:vAlign w:val="center"/>
          </w:tcPr>
          <w:p>
            <w:r>
              <w:rPr>
                <w:kern w:val="2"/>
                <w:sz w:val="18"/>
                <w:szCs w:val="18"/>
              </w:rPr>
              <w:t>3</w:t>
            </w:r>
            <w:r>
              <w:rPr>
                <w:rFonts w:hint="eastAsia"/>
                <w:kern w:val="2"/>
                <w:sz w:val="18"/>
                <w:szCs w:val="18"/>
              </w:rPr>
              <w:t>4</w:t>
            </w:r>
            <w:r>
              <w:rPr>
                <w:rFonts w:hint="eastAsia"/>
                <w:sz w:val="18"/>
                <w:szCs w:val="18"/>
              </w:rPr>
              <w:t>.</w:t>
            </w:r>
            <w:r>
              <w:rPr>
                <w:rFonts w:hAnsi="Times New Roman"/>
                <w:kern w:val="2"/>
                <w:sz w:val="18"/>
                <w:szCs w:val="18"/>
              </w:rPr>
              <w:t>水资源管理法规，</w:t>
            </w:r>
            <w:r>
              <w:rPr>
                <w:kern w:val="2"/>
                <w:sz w:val="18"/>
                <w:szCs w:val="18"/>
              </w:rPr>
              <w:t>2</w:t>
            </w:r>
            <w:r>
              <w:rPr>
                <w:rFonts w:hAnsi="Times New Roman"/>
                <w:kern w:val="2"/>
                <w:sz w:val="18"/>
                <w:szCs w:val="18"/>
              </w:rPr>
              <w:t>分：</w:t>
            </w:r>
          </w:p>
          <w:p>
            <w:r>
              <w:rPr>
                <w:kern w:val="0"/>
                <w:sz w:val="18"/>
                <w:szCs w:val="18"/>
              </w:rPr>
              <w:t>2012</w:t>
            </w:r>
            <w:r>
              <w:rPr>
                <w:rFonts w:hAnsi="宋体"/>
                <w:kern w:val="0"/>
                <w:sz w:val="18"/>
                <w:szCs w:val="18"/>
              </w:rPr>
              <w:t>年以来出台或修订专项地方性水资源管理法规</w:t>
            </w:r>
            <w:r>
              <w:rPr>
                <w:rFonts w:hint="eastAsia" w:hAnsi="宋体"/>
                <w:kern w:val="0"/>
                <w:sz w:val="18"/>
                <w:szCs w:val="18"/>
              </w:rPr>
              <w:t>、规章或</w:t>
            </w:r>
            <w:r>
              <w:rPr>
                <w:rFonts w:hAnsi="宋体"/>
                <w:kern w:val="0"/>
                <w:sz w:val="18"/>
                <w:szCs w:val="18"/>
              </w:rPr>
              <w:t>规范性文件，得</w:t>
            </w:r>
            <w:r>
              <w:rPr>
                <w:kern w:val="0"/>
                <w:sz w:val="18"/>
                <w:szCs w:val="18"/>
              </w:rPr>
              <w:t>1</w:t>
            </w:r>
            <w:r>
              <w:rPr>
                <w:rFonts w:hAnsi="宋体"/>
                <w:kern w:val="0"/>
                <w:sz w:val="18"/>
                <w:szCs w:val="18"/>
              </w:rPr>
              <w:t>分。</w:t>
            </w:r>
          </w:p>
          <w:p>
            <w:pPr>
              <w:adjustRightInd w:val="0"/>
              <w:snapToGrid w:val="0"/>
              <w:spacing w:line="280" w:lineRule="exact"/>
              <w:ind w:firstLine="360" w:firstLineChars="200"/>
              <w:rPr>
                <w:kern w:val="0"/>
                <w:sz w:val="18"/>
                <w:szCs w:val="18"/>
              </w:rPr>
            </w:pPr>
            <w:r>
              <w:rPr>
                <w:kern w:val="0"/>
                <w:sz w:val="18"/>
                <w:szCs w:val="18"/>
              </w:rPr>
              <w:t>出台</w:t>
            </w:r>
            <w:r>
              <w:rPr>
                <w:rFonts w:hint="eastAsia"/>
                <w:kern w:val="0"/>
                <w:sz w:val="18"/>
                <w:szCs w:val="18"/>
              </w:rPr>
              <w:t>市</w:t>
            </w:r>
            <w:r>
              <w:rPr>
                <w:kern w:val="0"/>
                <w:sz w:val="18"/>
                <w:szCs w:val="18"/>
              </w:rPr>
              <w:t>级综合性节水地方法规</w:t>
            </w:r>
            <w:r>
              <w:rPr>
                <w:rFonts w:hint="eastAsia"/>
                <w:kern w:val="0"/>
                <w:sz w:val="18"/>
                <w:szCs w:val="18"/>
              </w:rPr>
              <w:t>、规章</w:t>
            </w:r>
            <w:r>
              <w:rPr>
                <w:rFonts w:hint="eastAsia" w:hAnsi="宋体"/>
                <w:kern w:val="0"/>
                <w:sz w:val="18"/>
                <w:szCs w:val="18"/>
              </w:rPr>
              <w:t>或</w:t>
            </w:r>
            <w:r>
              <w:rPr>
                <w:rFonts w:hAnsi="宋体"/>
                <w:kern w:val="0"/>
                <w:sz w:val="18"/>
                <w:szCs w:val="18"/>
              </w:rPr>
              <w:t>规范性文件</w:t>
            </w:r>
            <w:r>
              <w:rPr>
                <w:kern w:val="0"/>
                <w:sz w:val="18"/>
                <w:szCs w:val="18"/>
              </w:rPr>
              <w:t>，得1分。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1" w:type="dxa"/>
            <w:vMerge w:val="continue"/>
            <w:tcMar>
              <w:left w:w="6" w:type="dxa"/>
              <w:right w:w="6" w:type="dxa"/>
            </w:tcMar>
            <w:vAlign w:val="center"/>
          </w:tcPr>
          <w:p>
            <w:pPr>
              <w:spacing w:line="240" w:lineRule="auto"/>
              <w:jc w:val="both"/>
              <w:rPr>
                <w:sz w:val="18"/>
                <w:szCs w:val="18"/>
              </w:rPr>
            </w:pPr>
          </w:p>
        </w:tc>
        <w:tc>
          <w:tcPr>
            <w:tcW w:w="423" w:type="dxa"/>
            <w:vMerge w:val="continue"/>
            <w:tcMar>
              <w:left w:w="6" w:type="dxa"/>
              <w:right w:w="6" w:type="dxa"/>
            </w:tcMar>
            <w:vAlign w:val="center"/>
          </w:tcPr>
          <w:p>
            <w:pPr>
              <w:spacing w:line="240" w:lineRule="auto"/>
              <w:jc w:val="both"/>
              <w:rPr>
                <w:sz w:val="18"/>
                <w:szCs w:val="18"/>
              </w:rPr>
            </w:pPr>
          </w:p>
        </w:tc>
        <w:tc>
          <w:tcPr>
            <w:tcW w:w="570" w:type="dxa"/>
            <w:vMerge w:val="continue"/>
            <w:tcMar>
              <w:left w:w="6" w:type="dxa"/>
              <w:right w:w="6" w:type="dxa"/>
            </w:tcMar>
            <w:vAlign w:val="center"/>
          </w:tcPr>
          <w:p>
            <w:pPr>
              <w:spacing w:line="240" w:lineRule="auto"/>
              <w:jc w:val="both"/>
              <w:rPr>
                <w:sz w:val="18"/>
                <w:szCs w:val="18"/>
              </w:rPr>
            </w:pPr>
          </w:p>
        </w:tc>
        <w:tc>
          <w:tcPr>
            <w:tcW w:w="426" w:type="dxa"/>
            <w:vMerge w:val="continue"/>
            <w:tcMar>
              <w:left w:w="6" w:type="dxa"/>
              <w:right w:w="6" w:type="dxa"/>
            </w:tcMar>
            <w:vAlign w:val="center"/>
          </w:tcPr>
          <w:p>
            <w:pPr>
              <w:spacing w:line="240" w:lineRule="auto"/>
              <w:jc w:val="both"/>
              <w:rPr>
                <w:sz w:val="18"/>
                <w:szCs w:val="18"/>
              </w:rPr>
            </w:pPr>
          </w:p>
        </w:tc>
        <w:tc>
          <w:tcPr>
            <w:tcW w:w="3583" w:type="dxa"/>
            <w:vMerge w:val="continue"/>
            <w:tcMar>
              <w:left w:w="6" w:type="dxa"/>
              <w:right w:w="6" w:type="dxa"/>
            </w:tcMar>
            <w:vAlign w:val="center"/>
          </w:tcPr>
          <w:p>
            <w:pPr>
              <w:spacing w:line="240" w:lineRule="auto"/>
              <w:rPr>
                <w:sz w:val="18"/>
                <w:szCs w:val="18"/>
              </w:rPr>
            </w:pPr>
          </w:p>
        </w:tc>
        <w:tc>
          <w:tcPr>
            <w:tcW w:w="8345" w:type="dxa"/>
            <w:vAlign w:val="center"/>
          </w:tcPr>
          <w:p>
            <w:r>
              <w:rPr>
                <w:sz w:val="18"/>
                <w:szCs w:val="18"/>
              </w:rPr>
              <w:t>3</w:t>
            </w:r>
            <w:r>
              <w:rPr>
                <w:rFonts w:hint="eastAsia"/>
                <w:sz w:val="18"/>
                <w:szCs w:val="18"/>
              </w:rPr>
              <w:t>5.</w:t>
            </w:r>
            <w:r>
              <w:rPr>
                <w:rFonts w:hAnsi="Times New Roman"/>
                <w:sz w:val="18"/>
                <w:szCs w:val="18"/>
              </w:rPr>
              <w:t>水情宣传教育，</w:t>
            </w:r>
            <w:r>
              <w:rPr>
                <w:sz w:val="18"/>
                <w:szCs w:val="18"/>
              </w:rPr>
              <w:t>2</w:t>
            </w:r>
            <w:r>
              <w:rPr>
                <w:rFonts w:hAnsi="Times New Roman"/>
                <w:sz w:val="18"/>
                <w:szCs w:val="18"/>
              </w:rPr>
              <w:t>分：</w:t>
            </w:r>
          </w:p>
          <w:p>
            <w:r>
              <w:rPr>
                <w:rFonts w:hAnsi="宋体"/>
                <w:sz w:val="18"/>
                <w:szCs w:val="18"/>
              </w:rPr>
              <w:t>世界水日、中国水周等</w:t>
            </w:r>
            <w:r>
              <w:rPr>
                <w:rFonts w:hint="eastAsia" w:hAnsi="宋体"/>
                <w:sz w:val="18"/>
                <w:szCs w:val="18"/>
              </w:rPr>
              <w:t>活动</w:t>
            </w:r>
            <w:r>
              <w:rPr>
                <w:rFonts w:hAnsi="宋体"/>
                <w:sz w:val="18"/>
                <w:szCs w:val="18"/>
              </w:rPr>
              <w:t>期间，</w:t>
            </w:r>
            <w:r>
              <w:rPr>
                <w:rFonts w:hint="eastAsia" w:hAnsi="宋体"/>
                <w:sz w:val="18"/>
                <w:szCs w:val="18"/>
              </w:rPr>
              <w:t>市</w:t>
            </w:r>
            <w:r>
              <w:rPr>
                <w:rFonts w:hAnsi="宋体"/>
                <w:sz w:val="18"/>
                <w:szCs w:val="18"/>
              </w:rPr>
              <w:t>级有关部门开展专题宣传活动，得</w:t>
            </w:r>
            <w:r>
              <w:rPr>
                <w:rFonts w:hint="eastAsia"/>
                <w:sz w:val="18"/>
                <w:szCs w:val="18"/>
              </w:rPr>
              <w:t>0.5</w:t>
            </w:r>
            <w:r>
              <w:rPr>
                <w:rFonts w:hAnsi="宋体"/>
                <w:sz w:val="18"/>
                <w:szCs w:val="18"/>
              </w:rPr>
              <w:t>分。</w:t>
            </w:r>
          </w:p>
          <w:p>
            <w:r>
              <w:rPr>
                <w:rFonts w:hAnsi="宋体"/>
                <w:sz w:val="18"/>
                <w:szCs w:val="18"/>
              </w:rPr>
              <w:t>出台推动用水户组织建设的文件，得</w:t>
            </w:r>
            <w:r>
              <w:rPr>
                <w:sz w:val="18"/>
                <w:szCs w:val="18"/>
              </w:rPr>
              <w:t>0.5</w:t>
            </w:r>
            <w:r>
              <w:rPr>
                <w:rFonts w:hAnsi="宋体"/>
                <w:sz w:val="18"/>
                <w:szCs w:val="18"/>
              </w:rPr>
              <w:t>分。</w:t>
            </w:r>
          </w:p>
          <w:p>
            <w:pPr>
              <w:adjustRightInd w:val="0"/>
              <w:spacing w:line="240" w:lineRule="auto"/>
              <w:ind w:firstLine="360" w:firstLineChars="200"/>
              <w:rPr>
                <w:sz w:val="18"/>
                <w:szCs w:val="18"/>
              </w:rPr>
            </w:pPr>
            <w:r>
              <w:rPr>
                <w:rFonts w:hint="eastAsia"/>
                <w:sz w:val="18"/>
                <w:szCs w:val="18"/>
              </w:rPr>
              <w:t>扎实开展中小学“节约水资源、保护生命线、共筑中国梦”“六个一”节水宣传主题教育实践活动</w:t>
            </w:r>
            <w:r>
              <w:rPr>
                <w:sz w:val="18"/>
                <w:szCs w:val="18"/>
              </w:rPr>
              <w:t>，得</w:t>
            </w:r>
            <w:r>
              <w:rPr>
                <w:rFonts w:hint="eastAsia"/>
                <w:sz w:val="18"/>
                <w:szCs w:val="18"/>
              </w:rPr>
              <w:t>1</w:t>
            </w:r>
            <w:r>
              <w:rPr>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1" w:type="dxa"/>
            <w:vMerge w:val="continue"/>
            <w:tcMar>
              <w:left w:w="6" w:type="dxa"/>
              <w:right w:w="6" w:type="dxa"/>
            </w:tcMar>
            <w:vAlign w:val="center"/>
          </w:tcPr>
          <w:p>
            <w:pPr>
              <w:spacing w:line="240" w:lineRule="auto"/>
              <w:jc w:val="both"/>
              <w:rPr>
                <w:sz w:val="18"/>
                <w:szCs w:val="18"/>
              </w:rPr>
            </w:pPr>
          </w:p>
        </w:tc>
        <w:tc>
          <w:tcPr>
            <w:tcW w:w="993" w:type="dxa"/>
            <w:gridSpan w:val="2"/>
            <w:tcMar>
              <w:left w:w="6" w:type="dxa"/>
              <w:right w:w="6" w:type="dxa"/>
            </w:tcMar>
            <w:vAlign w:val="center"/>
          </w:tcPr>
          <w:p>
            <w:pPr>
              <w:spacing w:line="240" w:lineRule="auto"/>
              <w:jc w:val="both"/>
              <w:rPr>
                <w:sz w:val="18"/>
                <w:szCs w:val="18"/>
              </w:rPr>
            </w:pPr>
            <w:r>
              <w:rPr>
                <w:sz w:val="18"/>
                <w:szCs w:val="18"/>
              </w:rPr>
              <w:t>小计</w:t>
            </w:r>
          </w:p>
        </w:tc>
        <w:tc>
          <w:tcPr>
            <w:tcW w:w="426" w:type="dxa"/>
            <w:tcMar>
              <w:left w:w="6" w:type="dxa"/>
              <w:right w:w="6" w:type="dxa"/>
            </w:tcMar>
            <w:vAlign w:val="center"/>
          </w:tcPr>
          <w:p>
            <w:pPr>
              <w:spacing w:line="240" w:lineRule="auto"/>
              <w:jc w:val="both"/>
              <w:rPr>
                <w:sz w:val="18"/>
                <w:szCs w:val="18"/>
              </w:rPr>
            </w:pPr>
            <w:r>
              <w:rPr>
                <w:sz w:val="18"/>
                <w:szCs w:val="18"/>
              </w:rPr>
              <w:t>31</w:t>
            </w:r>
          </w:p>
        </w:tc>
        <w:tc>
          <w:tcPr>
            <w:tcW w:w="3583" w:type="dxa"/>
            <w:tcMar>
              <w:left w:w="6" w:type="dxa"/>
              <w:right w:w="6" w:type="dxa"/>
            </w:tcMar>
            <w:vAlign w:val="center"/>
          </w:tcPr>
          <w:p>
            <w:pPr>
              <w:spacing w:line="240" w:lineRule="auto"/>
              <w:rPr>
                <w:sz w:val="18"/>
                <w:szCs w:val="18"/>
              </w:rPr>
            </w:pPr>
          </w:p>
        </w:tc>
        <w:tc>
          <w:tcPr>
            <w:tcW w:w="8345" w:type="dxa"/>
            <w:vAlign w:val="center"/>
          </w:tcPr>
          <w:p>
            <w:pPr>
              <w:adjustRightInd w:val="0"/>
              <w:spacing w:line="240" w:lineRule="auto"/>
              <w:ind w:firstLine="360" w:firstLineChars="200"/>
              <w:rPr>
                <w:sz w:val="18"/>
                <w:szCs w:val="18"/>
              </w:rPr>
            </w:pPr>
            <w:r>
              <w:rPr>
                <w:sz w:val="18"/>
                <w:szCs w:val="18"/>
              </w:rPr>
              <w:t>3</w:t>
            </w:r>
            <w:r>
              <w:rPr>
                <w:rFonts w:hint="eastAsia"/>
                <w:sz w:val="18"/>
                <w:szCs w:val="18"/>
              </w:rPr>
              <w:t>6.</w:t>
            </w:r>
            <w:r>
              <w:rPr>
                <w:sz w:val="18"/>
                <w:szCs w:val="18"/>
              </w:rPr>
              <w:t>201</w:t>
            </w:r>
            <w:r>
              <w:rPr>
                <w:rFonts w:hint="eastAsia"/>
                <w:sz w:val="18"/>
                <w:szCs w:val="18"/>
              </w:rPr>
              <w:t>1</w:t>
            </w:r>
            <w:r>
              <w:rPr>
                <w:rFonts w:hAnsi="Times New Roman"/>
                <w:sz w:val="18"/>
                <w:szCs w:val="18"/>
              </w:rPr>
              <w:t>年</w:t>
            </w:r>
            <w:r>
              <w:rPr>
                <w:rFonts w:hint="eastAsia"/>
                <w:sz w:val="18"/>
                <w:szCs w:val="18"/>
              </w:rPr>
              <w:t>以来</w:t>
            </w:r>
            <w:r>
              <w:rPr>
                <w:rFonts w:hint="eastAsia" w:hAnsi="Times New Roman"/>
                <w:sz w:val="18"/>
                <w:szCs w:val="18"/>
              </w:rPr>
              <w:t>市</w:t>
            </w:r>
            <w:r>
              <w:rPr>
                <w:rFonts w:hAnsi="Times New Roman"/>
                <w:sz w:val="18"/>
                <w:szCs w:val="18"/>
              </w:rPr>
              <w:t>级政府或</w:t>
            </w:r>
            <w:r>
              <w:rPr>
                <w:rFonts w:hint="eastAsia" w:hAnsi="Times New Roman"/>
                <w:sz w:val="18"/>
                <w:szCs w:val="18"/>
              </w:rPr>
              <w:t>有关</w:t>
            </w:r>
            <w:r>
              <w:rPr>
                <w:rFonts w:hAnsi="Times New Roman"/>
                <w:sz w:val="18"/>
                <w:szCs w:val="18"/>
              </w:rPr>
              <w:t>部门对在水资源节约、保护和管理中取得显著成绩的单位和个人给予表扬、表彰或奖励，得</w:t>
            </w:r>
            <w:r>
              <w:rPr>
                <w:sz w:val="18"/>
                <w:szCs w:val="18"/>
              </w:rPr>
              <w:t>2</w:t>
            </w:r>
            <w:r>
              <w:rPr>
                <w:rFonts w:hAnsi="Times New Roman"/>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74" w:type="dxa"/>
            <w:gridSpan w:val="3"/>
            <w:tcMar>
              <w:left w:w="6" w:type="dxa"/>
              <w:right w:w="6" w:type="dxa"/>
            </w:tcMar>
            <w:vAlign w:val="center"/>
          </w:tcPr>
          <w:p>
            <w:pPr>
              <w:spacing w:line="240" w:lineRule="auto"/>
              <w:jc w:val="both"/>
              <w:rPr>
                <w:sz w:val="18"/>
                <w:szCs w:val="18"/>
              </w:rPr>
            </w:pPr>
            <w:r>
              <w:rPr>
                <w:sz w:val="18"/>
                <w:szCs w:val="18"/>
              </w:rPr>
              <w:t>合计</w:t>
            </w:r>
          </w:p>
        </w:tc>
        <w:tc>
          <w:tcPr>
            <w:tcW w:w="426" w:type="dxa"/>
            <w:tcMar>
              <w:left w:w="6" w:type="dxa"/>
              <w:right w:w="6" w:type="dxa"/>
            </w:tcMar>
            <w:vAlign w:val="center"/>
          </w:tcPr>
          <w:p>
            <w:pPr>
              <w:spacing w:line="240" w:lineRule="auto"/>
              <w:jc w:val="both"/>
              <w:rPr>
                <w:sz w:val="18"/>
                <w:szCs w:val="18"/>
              </w:rPr>
            </w:pPr>
            <w:r>
              <w:rPr>
                <w:sz w:val="18"/>
                <w:szCs w:val="18"/>
              </w:rPr>
              <w:t>100</w:t>
            </w:r>
          </w:p>
        </w:tc>
        <w:tc>
          <w:tcPr>
            <w:tcW w:w="3583" w:type="dxa"/>
            <w:tcMar>
              <w:left w:w="6" w:type="dxa"/>
              <w:right w:w="6" w:type="dxa"/>
            </w:tcMar>
            <w:vAlign w:val="center"/>
          </w:tcPr>
          <w:p>
            <w:pPr>
              <w:spacing w:line="240" w:lineRule="auto"/>
              <w:rPr>
                <w:sz w:val="18"/>
                <w:szCs w:val="18"/>
              </w:rPr>
            </w:pPr>
          </w:p>
        </w:tc>
        <w:tc>
          <w:tcPr>
            <w:tcW w:w="8345" w:type="dxa"/>
            <w:vAlign w:val="center"/>
          </w:tcPr>
          <w:p>
            <w:pPr>
              <w:spacing w:line="240" w:lineRule="auto"/>
              <w:rPr>
                <w:sz w:val="18"/>
                <w:szCs w:val="18"/>
              </w:rPr>
            </w:pPr>
          </w:p>
        </w:tc>
      </w:tr>
    </w:tbl>
    <w:p>
      <w:pPr>
        <w:tabs>
          <w:tab w:val="left" w:pos="1304"/>
        </w:tabs>
        <w:spacing w:line="580" w:lineRule="exact"/>
        <w:rPr>
          <w:bCs/>
          <w:kern w:val="0"/>
          <w:sz w:val="18"/>
          <w:szCs w:val="18"/>
        </w:rPr>
      </w:pPr>
    </w:p>
    <w:p>
      <w:pPr>
        <w:snapToGrid w:val="0"/>
        <w:spacing w:line="580" w:lineRule="exact"/>
        <w:ind w:firstLine="0" w:firstLineChars="0"/>
        <w:rPr>
          <w:rFonts w:hint="eastAsia" w:eastAsia="仿宋_GB2312"/>
          <w:sz w:val="32"/>
          <w:szCs w:val="32"/>
        </w:rPr>
        <w:sectPr>
          <w:pgSz w:w="16838" w:h="11906" w:orient="landscape"/>
          <w:pgMar w:top="1814" w:right="1588" w:bottom="1701" w:left="1588" w:header="851" w:footer="992" w:gutter="0"/>
          <w:cols w:space="720" w:num="1"/>
          <w:docGrid w:type="lines" w:linePitch="319" w:charSpace="0"/>
        </w:sectPr>
      </w:pPr>
    </w:p>
    <w:p>
      <w:pPr>
        <w:snapToGrid w:val="0"/>
        <w:spacing w:line="580" w:lineRule="exact"/>
        <w:rPr>
          <w:rFonts w:hint="eastAsia" w:ascii="黑体" w:eastAsia="黑体"/>
          <w:sz w:val="32"/>
          <w:szCs w:val="32"/>
        </w:rPr>
      </w:pPr>
      <w:r>
        <w:rPr>
          <w:rFonts w:hint="eastAsia" w:ascii="黑体" w:eastAsia="黑体"/>
          <w:sz w:val="32"/>
          <w:szCs w:val="32"/>
        </w:rPr>
        <w:t>附件5</w:t>
      </w:r>
    </w:p>
    <w:p>
      <w:pPr>
        <w:snapToGrid w:val="0"/>
        <w:spacing w:line="580" w:lineRule="exact"/>
        <w:ind w:firstLine="0" w:firstLineChars="0"/>
        <w:jc w:val="center"/>
        <w:rPr>
          <w:rFonts w:eastAsia="方正小标宋简体"/>
          <w:b/>
          <w:sz w:val="36"/>
          <w:szCs w:val="36"/>
        </w:rPr>
      </w:pPr>
      <w:r>
        <w:rPr>
          <w:rFonts w:eastAsia="方正小标宋简体"/>
          <w:b/>
          <w:sz w:val="36"/>
          <w:szCs w:val="36"/>
        </w:rPr>
        <w:t>自治区有关</w:t>
      </w:r>
      <w:r>
        <w:rPr>
          <w:rFonts w:hint="eastAsia" w:eastAsia="方正小标宋简体"/>
          <w:b/>
          <w:sz w:val="36"/>
          <w:szCs w:val="36"/>
        </w:rPr>
        <w:t>部门</w:t>
      </w:r>
      <w:r>
        <w:rPr>
          <w:rFonts w:eastAsia="方正小标宋简体"/>
          <w:b/>
          <w:sz w:val="36"/>
          <w:szCs w:val="36"/>
        </w:rPr>
        <w:t>提供涉水</w:t>
      </w:r>
      <w:r>
        <w:rPr>
          <w:rFonts w:hint="eastAsia" w:eastAsia="方正小标宋简体"/>
          <w:b/>
          <w:sz w:val="36"/>
          <w:szCs w:val="36"/>
        </w:rPr>
        <w:t>相关</w:t>
      </w:r>
      <w:r>
        <w:rPr>
          <w:rFonts w:eastAsia="方正小标宋简体"/>
          <w:b/>
          <w:sz w:val="36"/>
          <w:szCs w:val="36"/>
        </w:rPr>
        <w:t>资料清单</w:t>
      </w:r>
    </w:p>
    <w:p>
      <w:pPr>
        <w:snapToGrid w:val="0"/>
        <w:spacing w:line="580" w:lineRule="exact"/>
        <w:ind w:firstLine="640" w:firstLineChars="200"/>
        <w:rPr>
          <w:rFonts w:eastAsia="仿宋_GB2312"/>
          <w:sz w:val="32"/>
          <w:szCs w:val="32"/>
        </w:rPr>
      </w:pPr>
    </w:p>
    <w:p>
      <w:pPr>
        <w:snapToGrid w:val="0"/>
        <w:spacing w:line="580" w:lineRule="exact"/>
        <w:ind w:firstLine="640" w:firstLineChars="200"/>
        <w:rPr>
          <w:rFonts w:eastAsia="仿宋_GB2312"/>
          <w:sz w:val="32"/>
          <w:szCs w:val="32"/>
        </w:rPr>
      </w:pPr>
      <w:r>
        <w:rPr>
          <w:rFonts w:eastAsia="仿宋_GB2312"/>
          <w:sz w:val="32"/>
          <w:szCs w:val="32"/>
        </w:rPr>
        <w:t>一、自治区发展改革委提供“十二五”期间相关规划和重大项目布局清单（附批复文件）；2015年审批、核准、备案的项目清单（附批复文件）；把高耗水产业纳入已出台的禁止和限制发展产业目录，或制定出台高耗水产业禁止和限制目录相关文件；2011年以来其他涉水相关地方性法规、政策、文件、报告等。</w:t>
      </w:r>
    </w:p>
    <w:p>
      <w:pPr>
        <w:snapToGrid w:val="0"/>
        <w:spacing w:line="580" w:lineRule="exact"/>
        <w:ind w:firstLine="640" w:firstLineChars="200"/>
        <w:rPr>
          <w:rFonts w:eastAsia="仿宋_GB2312"/>
          <w:sz w:val="32"/>
          <w:szCs w:val="32"/>
        </w:rPr>
      </w:pPr>
      <w:r>
        <w:rPr>
          <w:rFonts w:eastAsia="仿宋_GB2312"/>
          <w:sz w:val="32"/>
          <w:szCs w:val="32"/>
        </w:rPr>
        <w:t>二、</w:t>
      </w:r>
      <w:r>
        <w:rPr>
          <w:rFonts w:hint="eastAsia" w:eastAsia="仿宋_GB2312"/>
          <w:sz w:val="32"/>
          <w:szCs w:val="32"/>
        </w:rPr>
        <w:t>自治区</w:t>
      </w:r>
      <w:r>
        <w:rPr>
          <w:rFonts w:eastAsia="仿宋_GB2312"/>
          <w:sz w:val="32"/>
          <w:szCs w:val="32"/>
        </w:rPr>
        <w:t>经济和信息化委提供工业用水重复利用率、规模以上节水型企业建成率相关证明材料；2011年以来全区工业节水方面的地方性法规、政策、文件、报告等。</w:t>
      </w:r>
    </w:p>
    <w:p>
      <w:pPr>
        <w:snapToGrid w:val="0"/>
        <w:spacing w:line="580" w:lineRule="exact"/>
        <w:ind w:firstLine="640" w:firstLineChars="200"/>
        <w:rPr>
          <w:rFonts w:eastAsia="仿宋_GB2312"/>
          <w:sz w:val="32"/>
          <w:szCs w:val="32"/>
        </w:rPr>
      </w:pPr>
      <w:r>
        <w:rPr>
          <w:rFonts w:eastAsia="仿宋_GB2312"/>
          <w:sz w:val="32"/>
          <w:szCs w:val="32"/>
        </w:rPr>
        <w:t>三、</w:t>
      </w:r>
      <w:r>
        <w:rPr>
          <w:rFonts w:hint="eastAsia" w:eastAsia="仿宋_GB2312"/>
          <w:sz w:val="32"/>
          <w:szCs w:val="32"/>
        </w:rPr>
        <w:t>自治区</w:t>
      </w:r>
      <w:r>
        <w:rPr>
          <w:rFonts w:eastAsia="仿宋_GB2312"/>
          <w:sz w:val="32"/>
          <w:szCs w:val="32"/>
        </w:rPr>
        <w:t>财政厅提供水生态文明建设、节水型社会建设、水资源监控能力建设固定投入渠道证明文件；建立长效、稳定的水资源管理投入机制的专项文件和按文件执行的证明材料；财政资金对水资源节约、保护和管理的投入规模或比例增加的证明材料；2011年以来其他涉水</w:t>
      </w:r>
      <w:r>
        <w:rPr>
          <w:rFonts w:hint="eastAsia" w:eastAsia="仿宋_GB2312"/>
          <w:sz w:val="32"/>
          <w:szCs w:val="32"/>
        </w:rPr>
        <w:t>相关</w:t>
      </w:r>
      <w:r>
        <w:rPr>
          <w:rFonts w:eastAsia="仿宋_GB2312"/>
          <w:sz w:val="32"/>
          <w:szCs w:val="32"/>
        </w:rPr>
        <w:t>地方性法规、政策、文件、报告等。</w:t>
      </w:r>
    </w:p>
    <w:p>
      <w:pPr>
        <w:snapToGrid w:val="0"/>
        <w:spacing w:line="580" w:lineRule="exact"/>
        <w:ind w:firstLine="640" w:firstLineChars="200"/>
        <w:rPr>
          <w:rFonts w:eastAsia="仿宋_GB2312"/>
          <w:sz w:val="32"/>
          <w:szCs w:val="32"/>
        </w:rPr>
      </w:pPr>
      <w:r>
        <w:rPr>
          <w:rFonts w:eastAsia="仿宋_GB2312"/>
          <w:sz w:val="32"/>
          <w:szCs w:val="32"/>
        </w:rPr>
        <w:t>四、</w:t>
      </w:r>
      <w:r>
        <w:rPr>
          <w:rFonts w:hint="eastAsia" w:eastAsia="仿宋_GB2312"/>
          <w:sz w:val="32"/>
          <w:szCs w:val="32"/>
        </w:rPr>
        <w:t>自治区</w:t>
      </w:r>
      <w:r>
        <w:rPr>
          <w:rFonts w:eastAsia="仿宋_GB2312"/>
          <w:sz w:val="32"/>
          <w:szCs w:val="32"/>
        </w:rPr>
        <w:t>国土资源厅提供2011年以来全区地下水勘探、地下水监测及其他涉水</w:t>
      </w:r>
      <w:r>
        <w:rPr>
          <w:rFonts w:hint="eastAsia" w:eastAsia="仿宋_GB2312"/>
          <w:sz w:val="32"/>
          <w:szCs w:val="32"/>
        </w:rPr>
        <w:t>相关</w:t>
      </w:r>
      <w:r>
        <w:rPr>
          <w:rFonts w:eastAsia="仿宋_GB2312"/>
          <w:sz w:val="32"/>
          <w:szCs w:val="32"/>
        </w:rPr>
        <w:t>地方性法规、政策、文件、报告等。</w:t>
      </w:r>
    </w:p>
    <w:p>
      <w:pPr>
        <w:snapToGrid w:val="0"/>
        <w:spacing w:line="580" w:lineRule="exact"/>
        <w:ind w:firstLine="640" w:firstLineChars="200"/>
        <w:rPr>
          <w:rFonts w:eastAsia="仿宋_GB2312"/>
          <w:sz w:val="32"/>
          <w:szCs w:val="32"/>
        </w:rPr>
      </w:pPr>
      <w:r>
        <w:rPr>
          <w:rFonts w:eastAsia="仿宋_GB2312"/>
          <w:sz w:val="32"/>
          <w:szCs w:val="32"/>
        </w:rPr>
        <w:t>五、</w:t>
      </w:r>
      <w:r>
        <w:rPr>
          <w:rFonts w:hint="eastAsia" w:eastAsia="仿宋_GB2312"/>
          <w:sz w:val="32"/>
          <w:szCs w:val="32"/>
        </w:rPr>
        <w:t>自治区</w:t>
      </w:r>
      <w:r>
        <w:rPr>
          <w:rFonts w:eastAsia="仿宋_GB2312"/>
          <w:sz w:val="32"/>
          <w:szCs w:val="32"/>
        </w:rPr>
        <w:t>环境保护厅提供2011年以来重要水功能区水质监测资料，入河排污口监督、监测、管理等水污染防治相关资料；省级以上层面的环境影响评价等工作中提出生态流量管理目标和要求、且通过批复的成果报告；2011年以来其他涉水</w:t>
      </w:r>
      <w:r>
        <w:rPr>
          <w:rFonts w:hint="eastAsia" w:eastAsia="仿宋_GB2312"/>
          <w:sz w:val="32"/>
          <w:szCs w:val="32"/>
        </w:rPr>
        <w:t>相关</w:t>
      </w:r>
      <w:r>
        <w:rPr>
          <w:rFonts w:eastAsia="仿宋_GB2312"/>
          <w:sz w:val="32"/>
          <w:szCs w:val="32"/>
        </w:rPr>
        <w:t>地方性法规、政策、文件、报告等。</w:t>
      </w:r>
    </w:p>
    <w:p>
      <w:pPr>
        <w:snapToGrid w:val="0"/>
        <w:spacing w:line="580" w:lineRule="exact"/>
        <w:ind w:firstLine="640" w:firstLineChars="200"/>
        <w:rPr>
          <w:rFonts w:eastAsia="仿宋_GB2312"/>
          <w:sz w:val="32"/>
          <w:szCs w:val="32"/>
        </w:rPr>
      </w:pPr>
      <w:r>
        <w:rPr>
          <w:rFonts w:eastAsia="仿宋_GB2312"/>
          <w:sz w:val="32"/>
          <w:szCs w:val="32"/>
        </w:rPr>
        <w:t>六、</w:t>
      </w:r>
      <w:r>
        <w:rPr>
          <w:rFonts w:hint="eastAsia" w:eastAsia="仿宋_GB2312"/>
          <w:sz w:val="32"/>
          <w:szCs w:val="32"/>
        </w:rPr>
        <w:t>自治区</w:t>
      </w:r>
      <w:r>
        <w:rPr>
          <w:rFonts w:eastAsia="仿宋_GB2312"/>
          <w:sz w:val="32"/>
          <w:szCs w:val="32"/>
        </w:rPr>
        <w:t>住房城乡建设厅提供全区供水管网漏损率、城市污水处理率达到“十二五”全国城镇污水处理及再生利用设施建设规划工作进度要求等相关资料；2011年以来其他涉水</w:t>
      </w:r>
      <w:r>
        <w:rPr>
          <w:rFonts w:hint="eastAsia" w:eastAsia="仿宋_GB2312"/>
          <w:sz w:val="32"/>
          <w:szCs w:val="32"/>
        </w:rPr>
        <w:t>相关</w:t>
      </w:r>
      <w:r>
        <w:rPr>
          <w:rFonts w:eastAsia="仿宋_GB2312"/>
          <w:sz w:val="32"/>
          <w:szCs w:val="32"/>
        </w:rPr>
        <w:t>地方性法规、政策、文件、报告等。</w:t>
      </w:r>
    </w:p>
    <w:p>
      <w:pPr>
        <w:snapToGrid w:val="0"/>
        <w:spacing w:line="580" w:lineRule="exact"/>
        <w:ind w:firstLine="640" w:firstLineChars="200"/>
        <w:rPr>
          <w:rFonts w:eastAsia="仿宋_GB2312"/>
          <w:sz w:val="32"/>
          <w:szCs w:val="32"/>
        </w:rPr>
      </w:pPr>
      <w:r>
        <w:rPr>
          <w:rFonts w:eastAsia="仿宋_GB2312"/>
          <w:sz w:val="32"/>
          <w:szCs w:val="32"/>
        </w:rPr>
        <w:t>七、自治区农牧厅提供2011年以来全区农业节水及其他涉水</w:t>
      </w:r>
      <w:r>
        <w:rPr>
          <w:rFonts w:hint="eastAsia" w:eastAsia="仿宋_GB2312"/>
          <w:sz w:val="32"/>
          <w:szCs w:val="32"/>
        </w:rPr>
        <w:t>相关</w:t>
      </w:r>
      <w:r>
        <w:rPr>
          <w:rFonts w:eastAsia="仿宋_GB2312"/>
          <w:sz w:val="32"/>
          <w:szCs w:val="32"/>
        </w:rPr>
        <w:t>地方性法规、政策、文件、报告等。</w:t>
      </w:r>
    </w:p>
    <w:p>
      <w:pPr>
        <w:snapToGrid w:val="0"/>
        <w:spacing w:line="580" w:lineRule="exact"/>
        <w:ind w:firstLine="640" w:firstLineChars="200"/>
        <w:rPr>
          <w:rFonts w:eastAsia="仿宋_GB2312"/>
          <w:sz w:val="32"/>
          <w:szCs w:val="32"/>
        </w:rPr>
      </w:pPr>
      <w:r>
        <w:rPr>
          <w:rFonts w:eastAsia="仿宋_GB2312"/>
          <w:sz w:val="32"/>
          <w:szCs w:val="32"/>
        </w:rPr>
        <w:t>八、自治区林业厅提供有专家评审意见的河湖、湿地健康评估工作相关报告；2011年以来全区水生态保护及其他涉水</w:t>
      </w:r>
      <w:r>
        <w:rPr>
          <w:rFonts w:hint="eastAsia" w:eastAsia="仿宋_GB2312"/>
          <w:sz w:val="32"/>
          <w:szCs w:val="32"/>
        </w:rPr>
        <w:t>相关</w:t>
      </w:r>
      <w:r>
        <w:rPr>
          <w:rFonts w:eastAsia="仿宋_GB2312"/>
          <w:sz w:val="32"/>
          <w:szCs w:val="32"/>
        </w:rPr>
        <w:t>地方性法规、政策、文件、报告等。</w:t>
      </w:r>
    </w:p>
    <w:p>
      <w:pPr>
        <w:snapToGrid w:val="0"/>
        <w:spacing w:line="580" w:lineRule="exact"/>
        <w:ind w:firstLine="640" w:firstLineChars="200"/>
        <w:rPr>
          <w:rFonts w:eastAsia="仿宋_GB2312"/>
          <w:sz w:val="32"/>
          <w:szCs w:val="32"/>
        </w:rPr>
      </w:pPr>
      <w:r>
        <w:rPr>
          <w:rFonts w:eastAsia="仿宋_GB2312"/>
          <w:sz w:val="32"/>
          <w:szCs w:val="32"/>
        </w:rPr>
        <w:t>九、</w:t>
      </w:r>
      <w:r>
        <w:rPr>
          <w:rFonts w:hint="eastAsia" w:eastAsia="仿宋_GB2312"/>
          <w:sz w:val="32"/>
          <w:szCs w:val="32"/>
        </w:rPr>
        <w:t>自治区</w:t>
      </w:r>
      <w:r>
        <w:rPr>
          <w:rFonts w:eastAsia="仿宋_GB2312"/>
          <w:sz w:val="32"/>
          <w:szCs w:val="32"/>
        </w:rPr>
        <w:t>统计局提供全区及各</w:t>
      </w:r>
      <w:r>
        <w:rPr>
          <w:rFonts w:hint="eastAsia" w:eastAsia="仿宋_GB2312"/>
          <w:sz w:val="32"/>
          <w:szCs w:val="32"/>
        </w:rPr>
        <w:t>地级市</w:t>
      </w:r>
      <w:r>
        <w:rPr>
          <w:rFonts w:eastAsia="仿宋_GB2312"/>
          <w:sz w:val="32"/>
          <w:szCs w:val="32"/>
        </w:rPr>
        <w:t>地区生产总值、工业总产值、工业增加值、房屋竣工面积、第三产业从业人员数量等自治区2015年度经济社会指标。</w:t>
      </w:r>
    </w:p>
    <w:p>
      <w:pPr>
        <w:snapToGrid w:val="0"/>
        <w:spacing w:line="580" w:lineRule="exact"/>
        <w:ind w:firstLine="640" w:firstLineChars="200"/>
        <w:rPr>
          <w:rFonts w:hint="eastAsia" w:eastAsia="仿宋_GB2312"/>
          <w:sz w:val="32"/>
          <w:szCs w:val="32"/>
        </w:rPr>
      </w:pPr>
      <w:r>
        <w:rPr>
          <w:rFonts w:eastAsia="仿宋_GB2312"/>
          <w:sz w:val="32"/>
          <w:szCs w:val="32"/>
        </w:rPr>
        <w:t>十、自治区</w:t>
      </w:r>
      <w:r>
        <w:rPr>
          <w:rFonts w:hint="eastAsia" w:eastAsia="仿宋_GB2312"/>
          <w:sz w:val="32"/>
          <w:szCs w:val="32"/>
        </w:rPr>
        <w:t>人民政府</w:t>
      </w:r>
      <w:r>
        <w:rPr>
          <w:rFonts w:eastAsia="仿宋_GB2312"/>
          <w:sz w:val="32"/>
          <w:szCs w:val="32"/>
        </w:rPr>
        <w:t>机关事务管理局提供省级公共机构节水型单位建成率相关证明材料；2011年以来全区公共机构节水型单位创建及其他涉及节水的地方性法规、政策、文件等。</w:t>
      </w:r>
    </w:p>
    <w:p>
      <w:pPr>
        <w:snapToGrid w:val="0"/>
        <w:spacing w:line="580" w:lineRule="exact"/>
        <w:ind w:firstLine="640" w:firstLineChars="200"/>
        <w:rPr>
          <w:rFonts w:hint="eastAsia" w:ascii="仿宋_GB2312" w:eastAsia="仿宋_GB2312"/>
          <w:sz w:val="32"/>
          <w:szCs w:val="32"/>
        </w:rPr>
      </w:pPr>
    </w:p>
    <w:p>
      <w:pPr>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（自治区有关部门、单位：</w:t>
      </w:r>
      <w:r>
        <w:rPr>
          <w:rFonts w:hint="eastAsia" w:ascii="仿宋_GB2312" w:eastAsia="仿宋_GB2312"/>
          <w:sz w:val="30"/>
          <w:szCs w:val="30"/>
        </w:rPr>
        <w:t>自治区</w:t>
      </w:r>
      <w:r>
        <w:rPr>
          <w:rFonts w:eastAsia="仿宋_GB2312"/>
          <w:sz w:val="30"/>
          <w:szCs w:val="30"/>
        </w:rPr>
        <w:t>发展改革委、经济和信息化委、教育厅、监察厅、财政厅、国土资源厅、环境保护厅、住房城乡建设厅、水利厅、农牧厅、审计厅、</w:t>
      </w:r>
      <w:r>
        <w:rPr>
          <w:rFonts w:hint="eastAsia" w:eastAsia="仿宋_GB2312"/>
          <w:sz w:val="30"/>
          <w:szCs w:val="30"/>
        </w:rPr>
        <w:t>林业厅、</w:t>
      </w:r>
      <w:r>
        <w:rPr>
          <w:rFonts w:eastAsia="仿宋_GB2312"/>
          <w:sz w:val="30"/>
          <w:szCs w:val="30"/>
        </w:rPr>
        <w:t>统计局、</w:t>
      </w:r>
      <w:r>
        <w:rPr>
          <w:rFonts w:hint="eastAsia" w:eastAsia="仿宋_GB2312"/>
          <w:sz w:val="30"/>
          <w:szCs w:val="30"/>
        </w:rPr>
        <w:t>自治区政府</w:t>
      </w:r>
      <w:r>
        <w:rPr>
          <w:rFonts w:eastAsia="仿宋_GB2312"/>
          <w:sz w:val="30"/>
          <w:szCs w:val="30"/>
        </w:rPr>
        <w:t>机关事务管理局</w:t>
      </w:r>
      <w:r>
        <w:rPr>
          <w:rFonts w:hint="eastAsia" w:eastAsia="仿宋_GB2312"/>
          <w:sz w:val="30"/>
          <w:szCs w:val="30"/>
        </w:rPr>
        <w:t>，宁夏农垦集团公司。</w:t>
      </w:r>
      <w:r>
        <w:rPr>
          <w:rFonts w:hint="eastAsia" w:ascii="仿宋_GB2312" w:eastAsia="仿宋_GB2312"/>
          <w:sz w:val="32"/>
          <w:szCs w:val="32"/>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3"/>
      <w:rPr>
        <w:rStyle w:val="4"/>
      </w:rPr>
    </w:pPr>
    <w:r>
      <w:fldChar w:fldCharType="begin"/>
    </w:r>
    <w:r>
      <w:rPr>
        <w:rStyle w:val="4"/>
      </w:rPr>
      <w:instrText xml:space="preserve">PAGE  </w:instrText>
    </w:r>
    <w:r>
      <w:fldChar w:fldCharType="separate"/>
    </w:r>
    <w:r>
      <w:rPr>
        <w:rStyle w:val="4"/>
      </w:rPr>
      <w:t>18</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3"/>
      <w:rPr>
        <w:rStyle w:val="4"/>
      </w:rPr>
    </w:pPr>
    <w:r>
      <w:fldChar w:fldCharType="begin"/>
    </w:r>
    <w:r>
      <w:rPr>
        <w:rStyle w:val="4"/>
      </w:rPr>
      <w:instrText xml:space="preserve">PAGE  </w:instrText>
    </w:r>
    <w:r>
      <w:fldChar w:fldCharType="separate"/>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F620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紫鹤  未名  爱拜</cp:lastModifiedBy>
  <dcterms:modified xsi:type="dcterms:W3CDTF">2018-05-29T09:16:43Z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