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0C" w:rsidRPr="00C40258" w:rsidRDefault="00C40258" w:rsidP="00C90241">
      <w:pPr>
        <w:pStyle w:val="2"/>
        <w:ind w:leftChars="0" w:left="0" w:firstLineChars="0" w:firstLine="0"/>
        <w:rPr>
          <w:rFonts w:eastAsia="黑体" w:hint="eastAsia"/>
        </w:rPr>
      </w:pPr>
      <w:r w:rsidRPr="00C40258">
        <w:rPr>
          <w:rFonts w:eastAsia="黑体" w:hint="eastAsia"/>
        </w:rPr>
        <w:t>附件</w:t>
      </w:r>
    </w:p>
    <w:p w:rsidR="0010653C" w:rsidRPr="00C90241" w:rsidRDefault="0010653C" w:rsidP="00C40258">
      <w:pPr>
        <w:pStyle w:val="2"/>
        <w:ind w:leftChars="131" w:left="419" w:firstLineChars="145" w:firstLine="638"/>
        <w:rPr>
          <w:rFonts w:ascii="方正小标宋_GBK" w:eastAsia="方正小标宋_GBK" w:hint="eastAsia"/>
          <w:sz w:val="44"/>
          <w:szCs w:val="44"/>
        </w:rPr>
      </w:pPr>
      <w:r w:rsidRPr="00C90241">
        <w:rPr>
          <w:rFonts w:ascii="方正小标宋_GBK" w:eastAsia="方正小标宋_GBK" w:hint="eastAsia"/>
          <w:sz w:val="44"/>
          <w:szCs w:val="44"/>
        </w:rPr>
        <w:t>创建国土资源执法模范市县评分标准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1161"/>
        <w:gridCol w:w="1330"/>
        <w:gridCol w:w="5492"/>
        <w:gridCol w:w="580"/>
      </w:tblGrid>
      <w:tr w:rsidR="0010653C" w:rsidRPr="00E4275A">
        <w:trPr>
          <w:trHeight w:val="600"/>
        </w:trPr>
        <w:tc>
          <w:tcPr>
            <w:tcW w:w="274" w:type="pct"/>
            <w:shd w:val="clear" w:color="auto" w:fill="auto"/>
            <w:vAlign w:val="center"/>
          </w:tcPr>
          <w:p w:rsidR="0010653C" w:rsidRPr="00033F83" w:rsidRDefault="0010653C" w:rsidP="0010653C">
            <w:pPr>
              <w:widowControl/>
              <w:spacing w:line="400" w:lineRule="exact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033F83" w:rsidRDefault="0010653C" w:rsidP="0010653C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考核</w:t>
            </w:r>
          </w:p>
          <w:p w:rsidR="0010653C" w:rsidRPr="00033F83" w:rsidRDefault="0010653C" w:rsidP="0010653C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C40258" w:rsidRDefault="0010653C" w:rsidP="00C40258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评分</w:t>
            </w:r>
          </w:p>
          <w:p w:rsidR="0010653C" w:rsidRPr="00033F83" w:rsidRDefault="0010653C" w:rsidP="00C40258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标准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033F83" w:rsidRDefault="0010653C" w:rsidP="0010653C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033F83" w:rsidRDefault="0010653C" w:rsidP="0010653C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033F83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0653C" w:rsidRPr="00E4275A">
        <w:trPr>
          <w:trHeight w:val="780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建立共同责任机制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①未以政府发文制定“创建”活动方案的，扣4分；②未与组织部、监察局联合发文加强国土执法监察工作意见的，扣3分；③未与辖区内法院建立共同协调配合机制的，扣3分。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080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土地利用规划管理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①在规划成果经批准后3个月内，未及时将规划文本、图件等主要成果通过网络、报纸等媒体向社会公布的，扣2分；②辖区内发现违反土地利用总体规划用地的，1宗扣1分，扣完为止（3分）；③辖区内发现越权违规调整规划的，1宗扣1分，扣完为止（3分）。                    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005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耕地保护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①辖区内违法占用耕地单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宗超过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50亩的，有1宗扣1分，扣完为止；②辖区内有违法占用基本农田的，在规定时间内拆除复耕并通过上级国土资源管理部门验收的不扣分；未能在规定时间内拆除复耕并且违法占用基本农田面积在30亩（含30亩）以下的，占1亩扣1分，扣完为止，面积在30亩以上的取消评先资格。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005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土地利用管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理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①当年供地率不足50%的扣1分；前2年累计供地率不足70%的扣1分；②违规供地、超额供地，发现1起扣1分，扣完为止；③闲置土地未在规定期限内处置到位的，扣1分；④2014年度发生经营性用地未挂牌出让先行建设的，发现1起扣1分，扣完为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795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维护农民合法权益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①年度内违规征地，发现1宗，扣2分，扣完为止；②补偿不到位，发现一宗，扣1分，扣完为止；③未按自治区人民政府确定的标准进行补偿的，发现1宗，扣1分，扣完为止。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704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卫片执法检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查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①根据上年度土地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卫片执法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检查核定的违法占用耕地面积占新增建设用地占用耕地面积的比例（即整改前比例）为依据。平均比例在5%以下（含5%）的不扣分；比例在5%—7%（含7%）的扣1分；比例在7%—9%（含9%）的扣2分；比例在9%—13%（含13%）的扣3分；比例在13%—14.9%的扣5分；比例达到15%以上的取消评先资格；②辖区内因违法违规用地问题严重，被国家监察部、人力资源社会保障部、国土资源部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纳入问责范围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的或被国家土地总督察、国家土地督察西安局约谈的取消评先资格；被自治区人民政府约谈的扣10分；被自治区国土资源厅约谈的扣5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分；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③在自治区国土资源厅督办事项中，未按要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求整改到位的，每发现1宗扣1分，扣完为止；被自治区国土资源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厅公开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挂牌督办案件，每挂牌一宗扣1分，扣完为止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；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④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卫片工作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中发现违法案件，应立案查处而未立案查处的，每发现一宗扣1分，扣完为止；结案率未达到85%的，每低一个百分点扣1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分，扣完为止。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10653C" w:rsidRPr="00E4275A">
        <w:trPr>
          <w:trHeight w:val="773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地籍管理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违规发证，发现1宗扣1分，扣完为止。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</w:tr>
      <w:tr w:rsidR="0010653C" w:rsidRPr="00E4275A">
        <w:trPr>
          <w:trHeight w:val="770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矿产资源执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法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对无证开采、越界开采、非法盗采矿产资源行为未查处到位的，发现一宗，扣1分，扣完为止。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855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动态巡查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①未建立动态巡查制度，扣2分；②未落实分片包干、责任到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人制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度的，扣2分；③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巡查台账记录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不规范、不完整的，扣2分；④应通过动态巡查工作发现的违法行为，而未发现的，每宗扣1分，扣完为止；⑤动态巡查发现违法行为未及时制止报告的，每宗扣2分，扣完为止。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876"/>
        </w:trPr>
        <w:tc>
          <w:tcPr>
            <w:tcW w:w="27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“12336”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031" w:type="pct"/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①未落实专人负责，举报电话不畅通的，发现一次，扣1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分，扣完为止；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②未及时回复当事人的，发现一次，扣1分，扣完为止；③违法行为举报后未及时处理，发现一起，扣2分，扣完为止；④未及时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回复区厅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12336转办案件的，发现一宗扣2分，扣完为止。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</w:t>
            </w: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40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案件查处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①案件查处（罚款、没收、拆除构建物、处理相关责任人）不到位的，发现一宗扣1分，扣完为止；②辖区内发现瞒案不报、压案不查的，一宗扣2分，扣完为止；③结案率未达到85%的，每低一个百分点扣1分，扣完为止。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E4275A">
        <w:trPr>
          <w:trHeight w:val="1877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案件评查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63266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①应用法律不准确、办案程序不合法、法律文书不规范，发现一宗扣1分，扣完为止；②不按自由裁量</w:t>
            </w:r>
            <w:proofErr w:type="gramStart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>权处罚</w:t>
            </w:r>
            <w:proofErr w:type="gramEnd"/>
            <w:r w:rsidRPr="0063266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的，发现一宗扣1分，扣完为止；③案件定性不准确的，发现一宗扣1分，扣完为止。                                                                                                                                                       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53C" w:rsidRPr="00E4275A" w:rsidRDefault="0010653C" w:rsidP="0010653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27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653C" w:rsidRPr="00C84CA6">
        <w:trPr>
          <w:trHeight w:val="624"/>
        </w:trPr>
        <w:tc>
          <w:tcPr>
            <w:tcW w:w="5000" w:type="pct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53C" w:rsidRPr="00C84CA6" w:rsidRDefault="0010653C" w:rsidP="0010653C">
            <w:pPr>
              <w:widowControl/>
              <w:ind w:firstLineChars="150" w:firstLine="420"/>
              <w:jc w:val="left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备注：1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.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考核对象为全区各市、县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（区）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国土资源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局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。其中，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5个地级市考核市本级和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辖区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内的工作，红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寺堡区按县级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考核。2.各市违法占用耕地比例为市辖区比例的平均值，例</w:t>
            </w:r>
            <w:r w:rsidR="00F3557A">
              <w:rPr>
                <w:rFonts w:ascii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银川市违法占用耕地比例按三区的平均比例为准。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.各市其他评分项以市辖区的总和数据为依据，例</w:t>
            </w:r>
            <w:r w:rsidR="00F3557A">
              <w:rPr>
                <w:rFonts w:ascii="仿宋_GB2312" w:hAnsi="宋体" w:cs="宋体" w:hint="eastAsia"/>
                <w:kern w:val="0"/>
                <w:sz w:val="28"/>
                <w:szCs w:val="28"/>
              </w:rPr>
              <w:t>：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吴忠市违法案件查处数量以利通区的查处数量为准，银川市以三区查处数量总和为准。                                                    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         </w:t>
            </w:r>
            <w:r w:rsidRPr="00C84CA6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10653C" w:rsidRPr="00C84CA6">
        <w:trPr>
          <w:trHeight w:val="624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3C" w:rsidRPr="00C84CA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0653C" w:rsidRPr="00C84CA6">
        <w:trPr>
          <w:trHeight w:val="624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3C" w:rsidRPr="00C84CA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0653C" w:rsidRPr="00C84CA6">
        <w:trPr>
          <w:trHeight w:val="624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3C" w:rsidRPr="00C84CA6" w:rsidRDefault="0010653C" w:rsidP="0010653C">
            <w:pPr>
              <w:widowControl/>
              <w:jc w:val="left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FB2618" w:rsidRDefault="00FB2618">
      <w:pPr>
        <w:rPr>
          <w:rFonts w:hint="eastAsia"/>
        </w:rPr>
      </w:pPr>
    </w:p>
    <w:p w:rsidR="0028540C" w:rsidRDefault="0028540C" w:rsidP="0028540C">
      <w:pPr>
        <w:pStyle w:val="2"/>
        <w:ind w:left="640" w:firstLine="640"/>
        <w:rPr>
          <w:rFonts w:hint="eastAsia"/>
        </w:rPr>
      </w:pPr>
    </w:p>
    <w:p w:rsidR="0028540C" w:rsidRDefault="0028540C" w:rsidP="0028540C">
      <w:pPr>
        <w:spacing w:line="580" w:lineRule="exact"/>
        <w:ind w:leftChars="152" w:left="1446" w:right="24" w:hangingChars="300" w:hanging="960"/>
        <w:rPr>
          <w:rFonts w:ascii="仿宋_GB2312" w:hint="eastAsia"/>
          <w:szCs w:val="32"/>
        </w:rPr>
      </w:pPr>
    </w:p>
    <w:p w:rsidR="0028540C" w:rsidRDefault="0028540C" w:rsidP="0028540C">
      <w:pPr>
        <w:spacing w:line="580" w:lineRule="exact"/>
        <w:ind w:leftChars="152" w:left="1446" w:right="24" w:hangingChars="300" w:hanging="960"/>
        <w:rPr>
          <w:rFonts w:ascii="仿宋_GB2312" w:hint="eastAsia"/>
          <w:szCs w:val="32"/>
        </w:rPr>
      </w:pPr>
    </w:p>
    <w:p w:rsidR="0028540C" w:rsidRDefault="0028540C" w:rsidP="0028540C">
      <w:pPr>
        <w:spacing w:line="580" w:lineRule="exact"/>
        <w:ind w:leftChars="152" w:left="1446" w:right="24" w:hangingChars="300" w:hanging="960"/>
        <w:rPr>
          <w:rFonts w:ascii="仿宋_GB2312" w:hint="eastAsia"/>
          <w:szCs w:val="32"/>
        </w:rPr>
      </w:pPr>
    </w:p>
    <w:p w:rsidR="0028540C" w:rsidRDefault="0028540C" w:rsidP="0028540C">
      <w:pPr>
        <w:spacing w:line="580" w:lineRule="exact"/>
        <w:ind w:leftChars="152" w:left="1446" w:right="24" w:hangingChars="300" w:hanging="960"/>
        <w:rPr>
          <w:rFonts w:ascii="仿宋_GB2312" w:hint="eastAsia"/>
          <w:szCs w:val="32"/>
        </w:rPr>
      </w:pPr>
    </w:p>
    <w:sectPr w:rsidR="0028540C" w:rsidSect="007825FC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28" w:rsidRDefault="00D42428">
      <w:r>
        <w:separator/>
      </w:r>
    </w:p>
  </w:endnote>
  <w:endnote w:type="continuationSeparator" w:id="0">
    <w:p w:rsidR="00D42428" w:rsidRDefault="00D42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3C" w:rsidRDefault="0010653C" w:rsidP="001065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653C" w:rsidRDefault="0010653C" w:rsidP="0010653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3C" w:rsidRDefault="0010653C" w:rsidP="001065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732D">
      <w:rPr>
        <w:rStyle w:val="a4"/>
        <w:noProof/>
      </w:rPr>
      <w:t>1</w:t>
    </w:r>
    <w:r>
      <w:rPr>
        <w:rStyle w:val="a4"/>
      </w:rPr>
      <w:fldChar w:fldCharType="end"/>
    </w:r>
  </w:p>
  <w:p w:rsidR="0010653C" w:rsidRDefault="0010653C" w:rsidP="0010653C">
    <w:pPr>
      <w:pStyle w:val="a3"/>
      <w:framePr w:wrap="around" w:vAnchor="text" w:hAnchor="margin" w:xAlign="outside" w:y="1"/>
      <w:rPr>
        <w:rStyle w:val="a4"/>
        <w:rFonts w:hint="eastAsia"/>
        <w:sz w:val="28"/>
      </w:rPr>
    </w:pPr>
    <w:r w:rsidRPr="00CC3288">
      <w:rPr>
        <w:rStyle w:val="a4"/>
        <w:rFonts w:hint="eastAsia"/>
        <w:color w:val="FFFFFF"/>
        <w:sz w:val="28"/>
      </w:rPr>
      <w:t>！！</w:t>
    </w:r>
  </w:p>
  <w:p w:rsidR="0010653C" w:rsidRDefault="0010653C" w:rsidP="0010653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28" w:rsidRDefault="00D42428">
      <w:r>
        <w:separator/>
      </w:r>
    </w:p>
  </w:footnote>
  <w:footnote w:type="continuationSeparator" w:id="0">
    <w:p w:rsidR="00D42428" w:rsidRDefault="00D42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3C" w:rsidRDefault="0010653C" w:rsidP="0010653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3C"/>
    <w:rsid w:val="00042E0C"/>
    <w:rsid w:val="0010653C"/>
    <w:rsid w:val="0014732D"/>
    <w:rsid w:val="00257DA8"/>
    <w:rsid w:val="0028540C"/>
    <w:rsid w:val="00327FB4"/>
    <w:rsid w:val="003C1420"/>
    <w:rsid w:val="0056220F"/>
    <w:rsid w:val="00590967"/>
    <w:rsid w:val="005919E5"/>
    <w:rsid w:val="0076698B"/>
    <w:rsid w:val="007825FC"/>
    <w:rsid w:val="00797D42"/>
    <w:rsid w:val="00902D28"/>
    <w:rsid w:val="00AF4DEA"/>
    <w:rsid w:val="00C31189"/>
    <w:rsid w:val="00C40258"/>
    <w:rsid w:val="00C90241"/>
    <w:rsid w:val="00D42428"/>
    <w:rsid w:val="00F3557A"/>
    <w:rsid w:val="00FB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0653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10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0653C"/>
  </w:style>
  <w:style w:type="paragraph" w:styleId="a5">
    <w:name w:val="header"/>
    <w:basedOn w:val="a"/>
    <w:rsid w:val="0010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065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 Indent"/>
    <w:basedOn w:val="a"/>
    <w:rsid w:val="0010653C"/>
    <w:pPr>
      <w:spacing w:after="120"/>
      <w:ind w:leftChars="200" w:left="420"/>
    </w:pPr>
  </w:style>
  <w:style w:type="paragraph" w:styleId="2">
    <w:name w:val="Body Text First Indent 2"/>
    <w:basedOn w:val="a7"/>
    <w:rsid w:val="0010653C"/>
    <w:pPr>
      <w:ind w:firstLineChars="200" w:firstLine="420"/>
    </w:pPr>
  </w:style>
  <w:style w:type="character" w:customStyle="1" w:styleId="Char">
    <w:name w:val="页脚 Char"/>
    <w:basedOn w:val="a0"/>
    <w:link w:val="a3"/>
    <w:rsid w:val="0010653C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CharChar">
    <w:name w:val="Char Char"/>
    <w:basedOn w:val="a"/>
    <w:autoRedefine/>
    <w:rsid w:val="0010653C"/>
    <w:pPr>
      <w:widowControl/>
      <w:spacing w:line="360" w:lineRule="auto"/>
    </w:pPr>
    <w:rPr>
      <w:rFonts w:ascii="Verdana" w:hAnsi="Verdana"/>
      <w:kern w:val="0"/>
      <w:sz w:val="24"/>
      <w:szCs w:val="20"/>
      <w:lang w:eastAsia="en-US"/>
    </w:rPr>
  </w:style>
  <w:style w:type="paragraph" w:styleId="a8">
    <w:name w:val="Balloon Text"/>
    <w:basedOn w:val="a"/>
    <w:semiHidden/>
    <w:rsid w:val="00797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3645</Characters>
  <Application>Microsoft Office Word</Application>
  <DocSecurity>0</DocSecurity>
  <Lines>30</Lines>
  <Paragraphs>8</Paragraphs>
  <ScaleCrop>false</ScaleCrop>
  <Company>Zhu Fei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自治区人民政府办公厅关于</dc:title>
  <dc:creator>张伟</dc:creator>
  <cp:lastModifiedBy>lenovo</cp:lastModifiedBy>
  <cp:revision>2</cp:revision>
  <dcterms:created xsi:type="dcterms:W3CDTF">2014-03-10T07:40:00Z</dcterms:created>
  <dcterms:modified xsi:type="dcterms:W3CDTF">2014-03-10T07:40:00Z</dcterms:modified>
</cp:coreProperties>
</file>