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r>
        <w:rPr>
          <w:rFonts w:hint="eastAsia" w:ascii="黑体" w:hAnsi="黑体" w:eastAsia="黑体"/>
          <w:sz w:val="32"/>
          <w:szCs w:val="32"/>
        </w:rPr>
        <w:t>附件</w:t>
      </w:r>
    </w:p>
    <w:p>
      <w:pPr>
        <w:tabs>
          <w:tab w:val="left" w:pos="1335"/>
          <w:tab w:val="center" w:pos="6480"/>
        </w:tabs>
        <w:spacing w:line="600" w:lineRule="exact"/>
        <w:jc w:val="left"/>
        <w:rPr>
          <w:rFonts w:ascii="仿宋_GB2312" w:eastAsia="仿宋_GB2312"/>
          <w:color w:val="000000"/>
          <w:sz w:val="32"/>
          <w:szCs w:val="32"/>
        </w:rPr>
      </w:pPr>
      <w:r>
        <w:rPr>
          <w:rFonts w:ascii="方正小标宋_GBK" w:eastAsia="方正小标宋_GBK"/>
          <w:color w:val="000000"/>
          <w:sz w:val="44"/>
          <w:szCs w:val="44"/>
        </w:rPr>
        <w:tab/>
      </w:r>
      <w:r>
        <w:rPr>
          <w:rFonts w:ascii="方正小标宋_GBK" w:eastAsia="方正小标宋_GBK"/>
          <w:color w:val="000000"/>
          <w:sz w:val="44"/>
          <w:szCs w:val="44"/>
        </w:rPr>
        <w:tab/>
      </w:r>
      <w:r>
        <w:rPr>
          <w:rFonts w:hint="eastAsia" w:ascii="方正小标宋_GBK" w:eastAsia="方正小标宋_GBK"/>
          <w:color w:val="000000"/>
          <w:sz w:val="44"/>
          <w:szCs w:val="44"/>
        </w:rPr>
        <w:t>社会公益事业建设领域政府信息公开目录清单</w:t>
      </w:r>
    </w:p>
    <w:tbl>
      <w:tblPr>
        <w:tblStyle w:val="2"/>
        <w:tblW w:w="147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4860"/>
        <w:gridCol w:w="1260"/>
        <w:gridCol w:w="2880"/>
        <w:gridCol w:w="28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40" w:type="dxa"/>
            <w:noWrap w:val="0"/>
            <w:vAlign w:val="center"/>
          </w:tcPr>
          <w:p>
            <w:pPr>
              <w:spacing w:line="600" w:lineRule="exact"/>
              <w:jc w:val="center"/>
              <w:rPr>
                <w:rFonts w:ascii="黑体" w:hAnsi="黑体" w:eastAsia="黑体"/>
                <w:szCs w:val="21"/>
              </w:rPr>
            </w:pPr>
            <w:r>
              <w:rPr>
                <w:rFonts w:hint="eastAsia" w:ascii="黑体" w:hAnsi="黑体" w:eastAsia="黑体"/>
                <w:szCs w:val="21"/>
              </w:rPr>
              <w:t>序号</w:t>
            </w:r>
          </w:p>
        </w:tc>
        <w:tc>
          <w:tcPr>
            <w:tcW w:w="1080" w:type="dxa"/>
            <w:noWrap w:val="0"/>
            <w:vAlign w:val="center"/>
          </w:tcPr>
          <w:p>
            <w:pPr>
              <w:spacing w:line="600" w:lineRule="exact"/>
              <w:jc w:val="center"/>
              <w:rPr>
                <w:rFonts w:ascii="黑体" w:hAnsi="黑体" w:eastAsia="黑体"/>
                <w:szCs w:val="21"/>
              </w:rPr>
            </w:pPr>
            <w:r>
              <w:rPr>
                <w:rFonts w:hint="eastAsia" w:ascii="黑体" w:hAnsi="黑体" w:eastAsia="黑体"/>
                <w:szCs w:val="21"/>
              </w:rPr>
              <w:t>公开事项</w:t>
            </w:r>
          </w:p>
        </w:tc>
        <w:tc>
          <w:tcPr>
            <w:tcW w:w="4860" w:type="dxa"/>
            <w:noWrap w:val="0"/>
            <w:vAlign w:val="center"/>
          </w:tcPr>
          <w:p>
            <w:pPr>
              <w:spacing w:line="600" w:lineRule="exact"/>
              <w:jc w:val="center"/>
              <w:rPr>
                <w:rFonts w:ascii="黑体" w:hAnsi="黑体" w:eastAsia="黑体"/>
                <w:szCs w:val="21"/>
              </w:rPr>
            </w:pPr>
            <w:r>
              <w:rPr>
                <w:rFonts w:hint="eastAsia" w:ascii="黑体" w:hAnsi="黑体" w:eastAsia="黑体"/>
                <w:szCs w:val="21"/>
              </w:rPr>
              <w:t>公开主要内容</w:t>
            </w:r>
          </w:p>
        </w:tc>
        <w:tc>
          <w:tcPr>
            <w:tcW w:w="1260" w:type="dxa"/>
            <w:noWrap w:val="0"/>
            <w:vAlign w:val="center"/>
          </w:tcPr>
          <w:p>
            <w:pPr>
              <w:spacing w:line="600" w:lineRule="exact"/>
              <w:jc w:val="center"/>
              <w:rPr>
                <w:rFonts w:ascii="黑体" w:hAnsi="黑体" w:eastAsia="黑体"/>
                <w:szCs w:val="21"/>
              </w:rPr>
            </w:pPr>
            <w:r>
              <w:rPr>
                <w:rFonts w:hint="eastAsia" w:ascii="黑体" w:hAnsi="黑体" w:eastAsia="黑体"/>
                <w:szCs w:val="21"/>
              </w:rPr>
              <w:t>公开时限</w:t>
            </w:r>
          </w:p>
        </w:tc>
        <w:tc>
          <w:tcPr>
            <w:tcW w:w="2880" w:type="dxa"/>
            <w:noWrap w:val="0"/>
            <w:vAlign w:val="center"/>
          </w:tcPr>
          <w:p>
            <w:pPr>
              <w:spacing w:line="600" w:lineRule="exact"/>
              <w:jc w:val="center"/>
              <w:rPr>
                <w:rFonts w:ascii="黑体" w:hAnsi="黑体" w:eastAsia="黑体"/>
                <w:szCs w:val="21"/>
              </w:rPr>
            </w:pPr>
            <w:r>
              <w:rPr>
                <w:rFonts w:hint="eastAsia" w:ascii="黑体" w:hAnsi="黑体" w:eastAsia="黑体"/>
                <w:szCs w:val="21"/>
              </w:rPr>
              <w:t>公开方式（渠道）</w:t>
            </w:r>
          </w:p>
        </w:tc>
        <w:tc>
          <w:tcPr>
            <w:tcW w:w="2880" w:type="dxa"/>
            <w:noWrap w:val="0"/>
            <w:vAlign w:val="center"/>
          </w:tcPr>
          <w:p>
            <w:pPr>
              <w:spacing w:line="600" w:lineRule="exact"/>
              <w:jc w:val="center"/>
              <w:rPr>
                <w:rFonts w:ascii="黑体" w:hAnsi="黑体" w:eastAsia="黑体"/>
                <w:szCs w:val="21"/>
              </w:rPr>
            </w:pPr>
            <w:r>
              <w:rPr>
                <w:rFonts w:hint="eastAsia" w:ascii="黑体" w:hAnsi="黑体" w:eastAsia="黑体"/>
                <w:szCs w:val="21"/>
              </w:rPr>
              <w:t>责任主体</w:t>
            </w:r>
          </w:p>
        </w:tc>
        <w:tc>
          <w:tcPr>
            <w:tcW w:w="1260" w:type="dxa"/>
            <w:noWrap w:val="0"/>
            <w:vAlign w:val="center"/>
          </w:tcPr>
          <w:p>
            <w:pPr>
              <w:spacing w:line="600" w:lineRule="exact"/>
              <w:jc w:val="center"/>
              <w:rPr>
                <w:rFonts w:ascii="黑体" w:hAnsi="黑体" w:eastAsia="黑体"/>
                <w:szCs w:val="21"/>
              </w:rPr>
            </w:pPr>
            <w:r>
              <w:rPr>
                <w:rFonts w:hint="eastAsia" w:ascii="黑体" w:hAnsi="黑体" w:eastAsia="黑体"/>
                <w:szCs w:val="21"/>
              </w:rPr>
              <w:t>监督渠道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0" w:hRule="atLeast"/>
        </w:trPr>
        <w:tc>
          <w:tcPr>
            <w:tcW w:w="540" w:type="dxa"/>
            <w:noWrap w:val="0"/>
            <w:vAlign w:val="center"/>
          </w:tcPr>
          <w:p>
            <w:pPr>
              <w:spacing w:line="600" w:lineRule="exact"/>
              <w:jc w:val="center"/>
              <w:rPr>
                <w:rFonts w:ascii="仿宋_GB2312" w:eastAsia="仿宋_GB2312"/>
                <w:szCs w:val="21"/>
              </w:rPr>
            </w:pPr>
            <w:r>
              <w:rPr>
                <w:rFonts w:hint="eastAsia" w:ascii="仿宋_GB2312" w:eastAsia="仿宋_GB2312"/>
                <w:szCs w:val="21"/>
              </w:rPr>
              <w:t>1</w:t>
            </w:r>
          </w:p>
        </w:tc>
        <w:tc>
          <w:tcPr>
            <w:tcW w:w="10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脱贫攻坚领域</w:t>
            </w:r>
          </w:p>
        </w:tc>
        <w:tc>
          <w:tcPr>
            <w:tcW w:w="486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及时公开国家及自治区出台的扶贫政策、扶贫规划及扶贫项目名称、资金来源、实施期限、预期目标、实施结果、实施单位及其责任人、举报电话、检查验收结果等信息。加强产业扶贫、易地扶贫搬迁、金融扶贫、科技扶贫、教育扶贫、社会扶贫、健康扶贫、光伏扶贫、旅游扶贫、驻村帮扶、贫困村提升工程、贫困劳动力职业技能培训、扶贫资金管理等重点工作信息的公开。强化向特定区域、特定群体公开贫困识别、贫困退出、扶贫资金分配和使用情况、帮扶责任人、扶贫成效等信息</w:t>
            </w:r>
          </w:p>
        </w:tc>
        <w:tc>
          <w:tcPr>
            <w:tcW w:w="1260" w:type="dxa"/>
            <w:noWrap w:val="0"/>
            <w:vAlign w:val="center"/>
          </w:tcPr>
          <w:p>
            <w:pPr>
              <w:spacing w:line="400" w:lineRule="exact"/>
              <w:rPr>
                <w:rFonts w:ascii="仿宋_GB2312" w:hAnsi="仿宋" w:eastAsia="仿宋_GB2312" w:cs="仿宋"/>
                <w:color w:val="000000"/>
                <w:sz w:val="24"/>
                <w:szCs w:val="24"/>
              </w:rPr>
            </w:pPr>
          </w:p>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实时公开</w:t>
            </w:r>
          </w:p>
        </w:tc>
        <w:tc>
          <w:tcPr>
            <w:tcW w:w="28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各级政府门户网站、有关部门网站，“宁夏政务服务网”网上大厅等政务服务平台，政府公报、政务新媒体、政府新闻发布会、广播电视、报纸杂志、公示栏、宣传册、手机APP等平台和办事大厅、便民服务窗口等场所，以及主流新闻媒体、新闻网站等</w:t>
            </w:r>
          </w:p>
        </w:tc>
        <w:tc>
          <w:tcPr>
            <w:tcW w:w="28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自治区扶贫办、发展改革委、教育厅、科技厅、工业和信息化厅、民委、民政厅、财政厅、人力资源社会保障厅、自然资源厅、生态环境厅、住房城乡建设厅、交通运输厅、水利厅、农业农村厅、商务厅、文化和旅游厅、卫生健康委、审计厅、国资委、广电局、地方金融监管局、医保局、林草局，人民银行银川中心支行、宁夏银保监局，有关国有企业，各市、县（区）人民政府</w:t>
            </w:r>
          </w:p>
        </w:tc>
        <w:tc>
          <w:tcPr>
            <w:tcW w:w="126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社会公众、新闻媒体等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3" w:hRule="atLeast"/>
        </w:trPr>
        <w:tc>
          <w:tcPr>
            <w:tcW w:w="540" w:type="dxa"/>
            <w:noWrap w:val="0"/>
            <w:vAlign w:val="center"/>
          </w:tcPr>
          <w:p>
            <w:pPr>
              <w:spacing w:line="600" w:lineRule="exact"/>
              <w:jc w:val="center"/>
              <w:rPr>
                <w:rFonts w:ascii="仿宋_GB2312" w:eastAsia="仿宋_GB2312"/>
                <w:szCs w:val="21"/>
              </w:rPr>
            </w:pPr>
            <w:r>
              <w:rPr>
                <w:rFonts w:hint="eastAsia" w:ascii="仿宋_GB2312" w:eastAsia="仿宋_GB2312"/>
                <w:szCs w:val="21"/>
              </w:rPr>
              <w:t>2</w:t>
            </w:r>
          </w:p>
        </w:tc>
        <w:tc>
          <w:tcPr>
            <w:tcW w:w="10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社会救助和社会福利领域</w:t>
            </w:r>
          </w:p>
        </w:tc>
        <w:tc>
          <w:tcPr>
            <w:tcW w:w="486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及时公开国家及我区出台的社会救助和社会福利相关政策措施，重点公开城乡低保、特困人员救助供养、受灾人员救助、教育救助、医疗救助、住房救助、就业援助、临时救助、老年人福利、残疾人福利、儿童福利、计划生育特殊困难家庭扶助等信息，全面公开救助对象认定、救助标准、福利补贴申领及申请审批程序等相关政策，有针对性地公开救助款物的管理使用、福利补贴发放等情况。</w:t>
            </w:r>
          </w:p>
        </w:tc>
        <w:tc>
          <w:tcPr>
            <w:tcW w:w="1260" w:type="dxa"/>
            <w:noWrap w:val="0"/>
            <w:vAlign w:val="center"/>
          </w:tcPr>
          <w:p>
            <w:pPr>
              <w:spacing w:line="400" w:lineRule="exact"/>
              <w:rPr>
                <w:rFonts w:ascii="仿宋_GB2312" w:hAnsi="仿宋" w:eastAsia="仿宋_GB2312" w:cs="仿宋"/>
                <w:color w:val="000000"/>
                <w:sz w:val="24"/>
                <w:szCs w:val="24"/>
              </w:rPr>
            </w:pPr>
          </w:p>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实时公开</w:t>
            </w:r>
          </w:p>
        </w:tc>
        <w:tc>
          <w:tcPr>
            <w:tcW w:w="28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各级政府门户网站、有关部门网站，“宁夏政务服务网”网上大厅等政务服务平台，政府公报、政务新媒体、政府新闻发布会、广播电视、报纸杂志、公示栏、宣传册、手机APP等平台和办事大厅、便民服务窗口等场所，以及主流新闻媒体、新闻网站等</w:t>
            </w:r>
          </w:p>
        </w:tc>
        <w:tc>
          <w:tcPr>
            <w:tcW w:w="28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自治区民政厅、教育厅、人力资源社会保障厅、住房城乡建设厅、卫生健康委、应急厅、医保局，各市、县（区）人民政府</w:t>
            </w:r>
          </w:p>
        </w:tc>
        <w:tc>
          <w:tcPr>
            <w:tcW w:w="126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社会公众、新闻媒体等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1" w:hRule="atLeast"/>
        </w:trPr>
        <w:tc>
          <w:tcPr>
            <w:tcW w:w="540" w:type="dxa"/>
            <w:noWrap w:val="0"/>
            <w:vAlign w:val="center"/>
          </w:tcPr>
          <w:p>
            <w:pPr>
              <w:spacing w:line="600" w:lineRule="exact"/>
              <w:jc w:val="center"/>
              <w:rPr>
                <w:rFonts w:ascii="仿宋_GB2312" w:eastAsia="仿宋_GB2312"/>
                <w:szCs w:val="21"/>
              </w:rPr>
            </w:pPr>
            <w:r>
              <w:rPr>
                <w:rFonts w:hint="eastAsia" w:ascii="仿宋_GB2312" w:eastAsia="仿宋_GB2312"/>
                <w:szCs w:val="21"/>
              </w:rPr>
              <w:t>3</w:t>
            </w:r>
          </w:p>
        </w:tc>
        <w:tc>
          <w:tcPr>
            <w:tcW w:w="10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教育领域</w:t>
            </w:r>
          </w:p>
        </w:tc>
        <w:tc>
          <w:tcPr>
            <w:tcW w:w="486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围绕义务教育、学前教育、普通高中教育、特殊教育、职业教育、高等教育等关系人民群众切身利益的事项，重点公开相关政策、发展规划、经费投入和使用、科研项目、教育督导、考试招生、困难学生资助实施情况等信息。做好农村义务教育学生营养改善计划政策及相应情况、义务教育控辍保学、县域义务教育优质均衡发展等工作进展情况的公开。推进高校落实《高等学校信息公开事项清单》，推动民办学校办学资质、办学质量、招生范围和收费等信息公开</w:t>
            </w:r>
          </w:p>
        </w:tc>
        <w:tc>
          <w:tcPr>
            <w:tcW w:w="1260" w:type="dxa"/>
            <w:noWrap w:val="0"/>
            <w:vAlign w:val="center"/>
          </w:tcPr>
          <w:p>
            <w:pPr>
              <w:spacing w:line="400" w:lineRule="exact"/>
              <w:rPr>
                <w:rFonts w:ascii="仿宋_GB2312" w:hAnsi="仿宋" w:eastAsia="仿宋_GB2312" w:cs="仿宋"/>
                <w:color w:val="000000"/>
                <w:sz w:val="24"/>
                <w:szCs w:val="24"/>
              </w:rPr>
            </w:pPr>
          </w:p>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实时公开</w:t>
            </w:r>
          </w:p>
        </w:tc>
        <w:tc>
          <w:tcPr>
            <w:tcW w:w="28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各级政府门户网站、有关部门网站，“宁夏政务服务网”网上大厅等政务服务平台，政府公报、政务新媒体、政府新闻发布会、广播电视、报纸杂志、公示栏、宣传册、手机APP等平台和办事大厅、便民服务窗口等场所，以及主流新闻媒体、新闻网站等</w:t>
            </w:r>
          </w:p>
        </w:tc>
        <w:tc>
          <w:tcPr>
            <w:tcW w:w="28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自治区教育厅，各市、县（区）人民政府</w:t>
            </w:r>
          </w:p>
        </w:tc>
        <w:tc>
          <w:tcPr>
            <w:tcW w:w="126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社会公众、新闻媒体等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4" w:hRule="atLeast"/>
        </w:trPr>
        <w:tc>
          <w:tcPr>
            <w:tcW w:w="540" w:type="dxa"/>
            <w:noWrap w:val="0"/>
            <w:vAlign w:val="center"/>
          </w:tcPr>
          <w:p>
            <w:pPr>
              <w:spacing w:line="600" w:lineRule="exact"/>
              <w:jc w:val="center"/>
              <w:rPr>
                <w:rFonts w:ascii="仿宋_GB2312" w:eastAsia="仿宋_GB2312"/>
                <w:szCs w:val="21"/>
              </w:rPr>
            </w:pPr>
            <w:r>
              <w:rPr>
                <w:rFonts w:hint="eastAsia" w:ascii="仿宋_GB2312" w:eastAsia="仿宋_GB2312"/>
                <w:szCs w:val="21"/>
              </w:rPr>
              <w:t>4</w:t>
            </w:r>
          </w:p>
        </w:tc>
        <w:tc>
          <w:tcPr>
            <w:tcW w:w="10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基本医疗卫生领域</w:t>
            </w:r>
          </w:p>
        </w:tc>
        <w:tc>
          <w:tcPr>
            <w:tcW w:w="486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全面公开分级诊疗、现代医院管理、全民医疗保障、药品供应保障、综合监管等深化医药卫生体制改革制度建设的有关政策、进展等相关信息。重点公开重大疾病预防控制、国家免疫规划、突发公共卫生事件、传染病疫情及防控等信息。公开职业病分类、目录以及职业病防治监督管理工作有关信息。做好疾病应急救助政策落实情况公开工作，督促医院结算窗口公示“一站式”即时结报、先诊疗后付费等政策。公开实行政府指导价管理的常规医疗服务价格信息。及时公开食品药品有关标准、许可、抽检、处罚、召回等监管信息，发布消费警示，开展科普宣传，完善推广企业“黑名单”制度</w:t>
            </w:r>
          </w:p>
        </w:tc>
        <w:tc>
          <w:tcPr>
            <w:tcW w:w="1260" w:type="dxa"/>
            <w:noWrap w:val="0"/>
            <w:vAlign w:val="center"/>
          </w:tcPr>
          <w:p>
            <w:pPr>
              <w:spacing w:line="400" w:lineRule="exact"/>
              <w:rPr>
                <w:rFonts w:ascii="仿宋_GB2312" w:hAnsi="仿宋" w:eastAsia="仿宋_GB2312" w:cs="仿宋"/>
                <w:color w:val="000000"/>
                <w:sz w:val="24"/>
                <w:szCs w:val="24"/>
              </w:rPr>
            </w:pPr>
          </w:p>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实时公开</w:t>
            </w:r>
          </w:p>
        </w:tc>
        <w:tc>
          <w:tcPr>
            <w:tcW w:w="28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各级政府门户网站、有关部门网站，“宁夏政务服务网”网上大厅等政务服务平台，政府公报、政务新媒体、政府新闻发布会、广播电视、报纸杂志、公示栏、宣传册、手机APP等平台和办事大厅、便民服务窗口等场所，以及主流新闻媒体、新闻网站等</w:t>
            </w:r>
          </w:p>
        </w:tc>
        <w:tc>
          <w:tcPr>
            <w:tcW w:w="28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自治区卫生健康委、应急厅、市场监管厅、医保局、药监局，各市、县（区）人民政府</w:t>
            </w:r>
          </w:p>
        </w:tc>
        <w:tc>
          <w:tcPr>
            <w:tcW w:w="126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社会公众、新闻媒体等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3" w:hRule="atLeast"/>
        </w:trPr>
        <w:tc>
          <w:tcPr>
            <w:tcW w:w="540" w:type="dxa"/>
            <w:noWrap w:val="0"/>
            <w:vAlign w:val="center"/>
          </w:tcPr>
          <w:p>
            <w:pPr>
              <w:spacing w:line="600" w:lineRule="exact"/>
              <w:jc w:val="center"/>
              <w:rPr>
                <w:rFonts w:ascii="仿宋_GB2312" w:eastAsia="仿宋_GB2312"/>
                <w:szCs w:val="21"/>
              </w:rPr>
            </w:pPr>
            <w:r>
              <w:rPr>
                <w:rFonts w:hint="eastAsia" w:ascii="仿宋_GB2312" w:eastAsia="仿宋_GB2312"/>
                <w:szCs w:val="21"/>
              </w:rPr>
              <w:t>5</w:t>
            </w:r>
          </w:p>
        </w:tc>
        <w:tc>
          <w:tcPr>
            <w:tcW w:w="10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生态环境保护领域</w:t>
            </w:r>
          </w:p>
        </w:tc>
        <w:tc>
          <w:tcPr>
            <w:tcW w:w="486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做好社会广泛关注的大气污染防治、水污染防治、土壤污染管控和修复等信息公开工作。及时发布空气质量预测预报信息、大范围重污染天气预警提示信息，每月公开全区</w:t>
            </w:r>
            <w:r>
              <w:rPr>
                <w:rFonts w:ascii="仿宋_GB2312" w:hAnsi="仿宋" w:eastAsia="仿宋_GB2312" w:cs="仿宋"/>
                <w:color w:val="000000"/>
                <w:sz w:val="24"/>
                <w:szCs w:val="24"/>
              </w:rPr>
              <w:t>5</w:t>
            </w:r>
            <w:r>
              <w:rPr>
                <w:rFonts w:hint="eastAsia" w:ascii="仿宋_GB2312" w:hAnsi="仿宋" w:eastAsia="仿宋_GB2312" w:cs="仿宋"/>
                <w:color w:val="000000"/>
                <w:sz w:val="24"/>
                <w:szCs w:val="24"/>
              </w:rPr>
              <w:t>个设区市及宁东能源化工基地、</w:t>
            </w:r>
            <w:r>
              <w:rPr>
                <w:rFonts w:ascii="仿宋_GB2312" w:hAnsi="仿宋" w:eastAsia="仿宋_GB2312" w:cs="仿宋"/>
                <w:color w:val="000000"/>
                <w:sz w:val="24"/>
                <w:szCs w:val="24"/>
              </w:rPr>
              <w:t>22</w:t>
            </w:r>
            <w:r>
              <w:rPr>
                <w:rFonts w:hint="eastAsia" w:ascii="仿宋_GB2312" w:hAnsi="仿宋" w:eastAsia="仿宋_GB2312" w:cs="仿宋"/>
                <w:color w:val="000000"/>
                <w:sz w:val="24"/>
                <w:szCs w:val="24"/>
              </w:rPr>
              <w:t>个县（市、区）环境空气质量排名、全区国控地表水环境质量状况、设区城市集中式生活饮用水水源地水质状况，按时公开重点污染源监督性监测结果和企业自行监测工作开展情况及监测结果。重点公开国家及我区出台的环境污染防治和生态保护政策措施、实施效果，加强建设项目环境影响评价审批、环境保护执法监督、环境投诉处理等信息公开。及时发布重大环境污染和生态破坏事件的调查处置情况。健全环保信息强制性披露制度</w:t>
            </w:r>
          </w:p>
        </w:tc>
        <w:tc>
          <w:tcPr>
            <w:tcW w:w="1260" w:type="dxa"/>
            <w:noWrap w:val="0"/>
            <w:vAlign w:val="center"/>
          </w:tcPr>
          <w:p>
            <w:pPr>
              <w:spacing w:line="400" w:lineRule="exact"/>
              <w:rPr>
                <w:rFonts w:ascii="仿宋_GB2312" w:hAnsi="仿宋" w:eastAsia="仿宋_GB2312" w:cs="仿宋"/>
                <w:color w:val="000000"/>
                <w:sz w:val="24"/>
                <w:szCs w:val="24"/>
              </w:rPr>
            </w:pPr>
          </w:p>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实时公开</w:t>
            </w:r>
          </w:p>
        </w:tc>
        <w:tc>
          <w:tcPr>
            <w:tcW w:w="28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各级政府门户网站、有关部门网站，“宁夏政务服务网”网上大厅等政务服务平台，政府公报、政务新媒体、政府新闻发布会、广播电视、报纸杂志、公示栏、宣传册、手机APP等平台和办事大厅、便民服务窗口等场所，以及主流新闻媒体、新闻网站等</w:t>
            </w:r>
          </w:p>
        </w:tc>
        <w:tc>
          <w:tcPr>
            <w:tcW w:w="28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自治区生态环境厅、卫生健康委、住房城乡建设厅、水利厅、应急厅，各市、县（区）人民政府</w:t>
            </w:r>
          </w:p>
        </w:tc>
        <w:tc>
          <w:tcPr>
            <w:tcW w:w="126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社会公众、新闻媒体等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7" w:hRule="atLeast"/>
        </w:trPr>
        <w:tc>
          <w:tcPr>
            <w:tcW w:w="540" w:type="dxa"/>
            <w:noWrap w:val="0"/>
            <w:vAlign w:val="center"/>
          </w:tcPr>
          <w:p>
            <w:pPr>
              <w:spacing w:line="600" w:lineRule="exact"/>
              <w:jc w:val="center"/>
              <w:rPr>
                <w:rFonts w:ascii="仿宋_GB2312" w:eastAsia="仿宋_GB2312"/>
                <w:szCs w:val="21"/>
              </w:rPr>
            </w:pPr>
            <w:r>
              <w:rPr>
                <w:rFonts w:hint="eastAsia" w:ascii="仿宋_GB2312" w:eastAsia="仿宋_GB2312"/>
                <w:szCs w:val="21"/>
              </w:rPr>
              <w:t>6</w:t>
            </w:r>
          </w:p>
        </w:tc>
        <w:tc>
          <w:tcPr>
            <w:tcW w:w="10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灾害事故救援领域</w:t>
            </w:r>
          </w:p>
        </w:tc>
        <w:tc>
          <w:tcPr>
            <w:tcW w:w="486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及时准确发布自然灾害、重大事故灾难、公共卫生事件等突发事件的应急处置与救援、医疗救护与卫生防疫、次生灾害预警防范等工作情况及动态信息。建立救灾款物信息公开制度，及时发布灾害救助需求信息，推动做好救助款物和捐赠款物的来源、数量、种类及使用情况，救助对象及其接受救助款物数额，灾后恢复重建工作进展等信息的公开工作</w:t>
            </w:r>
          </w:p>
        </w:tc>
        <w:tc>
          <w:tcPr>
            <w:tcW w:w="1260" w:type="dxa"/>
            <w:noWrap w:val="0"/>
            <w:vAlign w:val="center"/>
          </w:tcPr>
          <w:p>
            <w:pPr>
              <w:spacing w:line="400" w:lineRule="exact"/>
              <w:rPr>
                <w:rFonts w:ascii="仿宋_GB2312" w:hAnsi="仿宋" w:eastAsia="仿宋_GB2312" w:cs="仿宋"/>
                <w:color w:val="000000"/>
                <w:sz w:val="24"/>
                <w:szCs w:val="24"/>
              </w:rPr>
            </w:pPr>
          </w:p>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实时公开</w:t>
            </w:r>
          </w:p>
        </w:tc>
        <w:tc>
          <w:tcPr>
            <w:tcW w:w="28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各级政府门户网站、有关部门网站，“宁夏政务服务网”网上大厅等政务服务平台，政府公报、政务新媒体、政府新闻发布会、广播电视、报纸杂志、公示栏、宣传册、手机APP等平台和办事大厅、便民服务窗口等场所，以及主流新闻媒体、新闻网站等</w:t>
            </w:r>
          </w:p>
        </w:tc>
        <w:tc>
          <w:tcPr>
            <w:tcW w:w="28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自治区应急厅、卫生健康委、红十字会，宁夏气象局，各市、县（区）人民政府</w:t>
            </w:r>
          </w:p>
        </w:tc>
        <w:tc>
          <w:tcPr>
            <w:tcW w:w="126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社会公众、新闻媒体等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6" w:hRule="atLeast"/>
        </w:trPr>
        <w:tc>
          <w:tcPr>
            <w:tcW w:w="540" w:type="dxa"/>
            <w:noWrap w:val="0"/>
            <w:vAlign w:val="center"/>
          </w:tcPr>
          <w:p>
            <w:pPr>
              <w:spacing w:line="600" w:lineRule="exact"/>
              <w:jc w:val="center"/>
              <w:rPr>
                <w:rFonts w:ascii="仿宋_GB2312" w:eastAsia="仿宋_GB2312"/>
                <w:szCs w:val="21"/>
              </w:rPr>
            </w:pPr>
            <w:r>
              <w:rPr>
                <w:rFonts w:hint="eastAsia" w:ascii="仿宋_GB2312" w:eastAsia="仿宋_GB2312"/>
                <w:szCs w:val="21"/>
              </w:rPr>
              <w:t>7</w:t>
            </w:r>
          </w:p>
        </w:tc>
        <w:tc>
          <w:tcPr>
            <w:tcW w:w="10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公共文化体育领域</w:t>
            </w:r>
          </w:p>
        </w:tc>
        <w:tc>
          <w:tcPr>
            <w:tcW w:w="486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推进公共文化体育的服务保障政策、服务体系建设、财政资金投入和使用、设施建设和使用，政府购买公共文化体育服务的目录、绩效评价结果等信息公开。及时公开文化遗产保护、公共文化体育设施名录、公益性文化服务活动、公益性体育赛事和活动、全民健身系列活动、受捐款物管理使用、全区体育彩票公益金安排使用信息情况</w:t>
            </w:r>
          </w:p>
        </w:tc>
        <w:tc>
          <w:tcPr>
            <w:tcW w:w="1260" w:type="dxa"/>
            <w:noWrap w:val="0"/>
            <w:vAlign w:val="center"/>
          </w:tcPr>
          <w:p>
            <w:pPr>
              <w:spacing w:line="400" w:lineRule="exact"/>
              <w:rPr>
                <w:rFonts w:ascii="仿宋_GB2312" w:hAnsi="仿宋" w:eastAsia="仿宋_GB2312" w:cs="仿宋"/>
                <w:color w:val="000000"/>
                <w:sz w:val="24"/>
                <w:szCs w:val="24"/>
              </w:rPr>
            </w:pPr>
          </w:p>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实时公开</w:t>
            </w:r>
          </w:p>
        </w:tc>
        <w:tc>
          <w:tcPr>
            <w:tcW w:w="28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各级政府门户网站、有关部门网站，“宁夏政务服务网”网上大厅等政务服务平台，政府公报、政务新媒体、政府新闻发布会、广播电视、报纸杂志、公示栏、宣传册、手机APP等平台和办事大厅、便民服务窗口等场所，以及主流新闻媒体、新闻网站等</w:t>
            </w:r>
          </w:p>
        </w:tc>
        <w:tc>
          <w:tcPr>
            <w:tcW w:w="288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自治区文化和旅游厅、体育局，各市、县（区）人民政府</w:t>
            </w:r>
          </w:p>
        </w:tc>
        <w:tc>
          <w:tcPr>
            <w:tcW w:w="1260" w:type="dxa"/>
            <w:noWrap w:val="0"/>
            <w:vAlign w:val="center"/>
          </w:tcPr>
          <w:p>
            <w:pPr>
              <w:spacing w:line="40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社会公众、新闻媒体等</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882C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Administrator.20170802-104727</dc:creator>
  <cp:lastModifiedBy>星空</cp:lastModifiedBy>
  <dcterms:modified xsi:type="dcterms:W3CDTF">2019-04-10T08:14:45Z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