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rPr>
          <w:rFonts w:ascii="方正黑体简体" w:hAnsi="方正黑体简体" w:eastAsia="方正黑体简体" w:cs="方正黑体简体"/>
          <w:color w:val="333333"/>
          <w:kern w:val="0"/>
          <w:sz w:val="32"/>
          <w:szCs w:val="32"/>
        </w:rPr>
      </w:pPr>
      <w:r>
        <w:rPr>
          <w:rFonts w:hint="eastAsia" w:ascii="方正黑体简体" w:hAnsi="方正黑体简体" w:eastAsia="方正黑体简体" w:cs="方正黑体简体"/>
          <w:color w:val="333333"/>
          <w:kern w:val="0"/>
          <w:sz w:val="32"/>
          <w:szCs w:val="32"/>
        </w:rPr>
        <w:t>附件1</w:t>
      </w:r>
    </w:p>
    <w:p>
      <w:pPr>
        <w:widowControl/>
        <w:shd w:val="clear" w:color="auto" w:fill="FFFFFF"/>
        <w:spacing w:line="560" w:lineRule="exact"/>
        <w:jc w:val="center"/>
        <w:rPr>
          <w:rFonts w:ascii="方正小标宋简体" w:hAnsi="方正小标宋简体" w:eastAsia="方正小标宋简体" w:cs="方正小标宋简体"/>
          <w:color w:val="333333"/>
          <w:kern w:val="0"/>
          <w:sz w:val="44"/>
          <w:szCs w:val="44"/>
        </w:rPr>
      </w:pPr>
      <w:r>
        <w:rPr>
          <w:rFonts w:hint="eastAsia" w:ascii="方正小标宋简体" w:hAnsi="方正小标宋简体" w:eastAsia="方正小标宋简体" w:cs="方正小标宋简体"/>
          <w:color w:val="333333"/>
          <w:kern w:val="0"/>
          <w:sz w:val="44"/>
          <w:szCs w:val="44"/>
        </w:rPr>
        <w:t>国务院决定取消的中央指定地方</w:t>
      </w:r>
    </w:p>
    <w:p>
      <w:pPr>
        <w:widowControl/>
        <w:shd w:val="clear" w:color="auto" w:fill="FFFFFF"/>
        <w:spacing w:line="560" w:lineRule="exact"/>
        <w:jc w:val="center"/>
        <w:rPr>
          <w:rFonts w:ascii="方正小标宋简体" w:hAnsi="方正小标宋简体" w:eastAsia="方正小标宋简体" w:cs="方正小标宋简体"/>
          <w:color w:val="333333"/>
          <w:kern w:val="0"/>
          <w:sz w:val="44"/>
          <w:szCs w:val="44"/>
        </w:rPr>
      </w:pPr>
      <w:r>
        <w:rPr>
          <w:rFonts w:hint="eastAsia" w:ascii="方正小标宋简体" w:hAnsi="方正小标宋简体" w:eastAsia="方正小标宋简体" w:cs="方正小标宋简体"/>
          <w:color w:val="333333"/>
          <w:kern w:val="0"/>
          <w:sz w:val="44"/>
          <w:szCs w:val="44"/>
        </w:rPr>
        <w:t>实施的行政</w:t>
      </w:r>
      <w:bookmarkStart w:id="0" w:name="_GoBack"/>
      <w:bookmarkEnd w:id="0"/>
      <w:r>
        <w:rPr>
          <w:rFonts w:hint="eastAsia" w:ascii="方正小标宋简体" w:hAnsi="方正小标宋简体" w:eastAsia="方正小标宋简体" w:cs="方正小标宋简体"/>
          <w:color w:val="333333"/>
          <w:kern w:val="0"/>
          <w:sz w:val="44"/>
          <w:szCs w:val="44"/>
        </w:rPr>
        <w:t>许可事项目录</w:t>
      </w:r>
    </w:p>
    <w:p>
      <w:pPr>
        <w:widowControl/>
        <w:shd w:val="clear" w:color="auto" w:fill="FFFFFF"/>
        <w:jc w:val="center"/>
        <w:rPr>
          <w:rFonts w:ascii="方正楷体简体" w:hAnsi="方正楷体简体" w:eastAsia="方正楷体简体" w:cs="方正楷体简体"/>
          <w:color w:val="333333"/>
          <w:kern w:val="0"/>
          <w:sz w:val="32"/>
          <w:szCs w:val="32"/>
        </w:rPr>
      </w:pPr>
      <w:r>
        <w:rPr>
          <w:rFonts w:hint="eastAsia" w:ascii="方正楷体简体" w:hAnsi="方正楷体简体" w:eastAsia="方正楷体简体" w:cs="方正楷体简体"/>
          <w:color w:val="333333"/>
          <w:kern w:val="0"/>
          <w:sz w:val="32"/>
          <w:szCs w:val="32"/>
        </w:rPr>
        <w:t>（共21项）</w:t>
      </w:r>
    </w:p>
    <w:tbl>
      <w:tblPr>
        <w:tblStyle w:val="5"/>
        <w:tblW w:w="13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0"/>
        <w:gridCol w:w="1641"/>
        <w:gridCol w:w="1194"/>
        <w:gridCol w:w="3059"/>
        <w:gridCol w:w="6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atLeast"/>
          <w:tblHeader/>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b/>
                <w:bCs/>
                <w:kern w:val="0"/>
                <w:sz w:val="24"/>
                <w:szCs w:val="24"/>
              </w:rPr>
              <w:t>序号</w:t>
            </w:r>
          </w:p>
        </w:tc>
        <w:tc>
          <w:tcPr>
            <w:tcW w:w="1641"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b/>
                <w:bCs/>
                <w:kern w:val="0"/>
                <w:sz w:val="24"/>
                <w:szCs w:val="24"/>
              </w:rPr>
              <w:t>事项名称</w:t>
            </w:r>
          </w:p>
        </w:tc>
        <w:tc>
          <w:tcPr>
            <w:tcW w:w="1194"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b/>
                <w:bCs/>
                <w:kern w:val="0"/>
                <w:sz w:val="24"/>
                <w:szCs w:val="24"/>
              </w:rPr>
              <w:t>审批部门</w:t>
            </w:r>
          </w:p>
        </w:tc>
        <w:tc>
          <w:tcPr>
            <w:tcW w:w="3059"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b/>
                <w:bCs/>
                <w:kern w:val="0"/>
                <w:sz w:val="24"/>
                <w:szCs w:val="24"/>
              </w:rPr>
              <w:t>设定依据</w:t>
            </w:r>
          </w:p>
        </w:tc>
        <w:tc>
          <w:tcPr>
            <w:tcW w:w="667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b/>
                <w:bCs/>
                <w:kern w:val="0"/>
                <w:sz w:val="24"/>
                <w:szCs w:val="24"/>
              </w:rPr>
              <w:t>加强事中事后监管措施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7"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铬化合物生产建设项目审批</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省级工业和信息化部门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spacing w:val="-6"/>
                <w:kern w:val="0"/>
                <w:sz w:val="24"/>
                <w:szCs w:val="24"/>
              </w:rPr>
            </w:pPr>
            <w:r>
              <w:rPr>
                <w:rFonts w:hint="eastAsia" w:ascii="仿宋" w:hAnsi="仿宋" w:eastAsia="仿宋" w:cs="仿宋"/>
                <w:spacing w:val="-6"/>
                <w:kern w:val="0"/>
                <w:sz w:val="24"/>
                <w:szCs w:val="24"/>
              </w:rPr>
              <w:t>《国务院对确需保留的行政审批项目设定行政许可的决定》</w:t>
            </w:r>
          </w:p>
          <w:p>
            <w:pPr>
              <w:widowControl/>
              <w:spacing w:line="320" w:lineRule="exact"/>
              <w:rPr>
                <w:rFonts w:ascii="仿宋" w:hAnsi="仿宋" w:eastAsia="仿宋" w:cs="仿宋"/>
                <w:spacing w:val="-6"/>
                <w:kern w:val="0"/>
                <w:sz w:val="24"/>
                <w:szCs w:val="24"/>
              </w:rPr>
            </w:pPr>
            <w:r>
              <w:rPr>
                <w:rFonts w:hint="eastAsia" w:ascii="仿宋" w:hAnsi="仿宋" w:eastAsia="仿宋" w:cs="仿宋"/>
                <w:spacing w:val="-6"/>
                <w:kern w:val="0"/>
                <w:sz w:val="24"/>
                <w:szCs w:val="24"/>
              </w:rPr>
              <w:t>《国务院办公厅关于印发工业和信息化部主要职责内设机构和人员编制规定的通知》（国办发〔2008〕72号）</w:t>
            </w:r>
          </w:p>
          <w:p>
            <w:pPr>
              <w:widowControl/>
              <w:spacing w:line="320" w:lineRule="exact"/>
              <w:rPr>
                <w:rFonts w:ascii="仿宋" w:hAnsi="仿宋" w:eastAsia="仿宋" w:cs="仿宋"/>
                <w:kern w:val="0"/>
                <w:sz w:val="24"/>
                <w:szCs w:val="24"/>
              </w:rPr>
            </w:pPr>
            <w:r>
              <w:rPr>
                <w:rFonts w:hint="eastAsia" w:ascii="仿宋" w:hAnsi="仿宋" w:eastAsia="仿宋" w:cs="仿宋"/>
                <w:spacing w:val="-6"/>
                <w:kern w:val="0"/>
                <w:sz w:val="24"/>
                <w:szCs w:val="24"/>
              </w:rPr>
              <w:t>《国务院关于取消和调整一批行政审批项目等事项的决定》（国发〔2015〕11号）</w:t>
            </w:r>
          </w:p>
        </w:tc>
        <w:tc>
          <w:tcPr>
            <w:tcW w:w="6670"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取消许可后，工业和信息化部门要通过以下措施加强监管：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1.严格执行铬化合物生产的产业政策，发现铬化合物生产建设项目属于禁止或者限制类项目的，要按照规定及时处置。</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2.按照《国务院办公厅关于推进城镇人口密集区危险化学品生产企业搬迁改造的指导意见》（国办发〔2017〕77号）规定，对位于城镇人口密集区的铬化合物生产企业严格评估安全和卫生防护距离，评估不达标的企业要进行搬迁改造。</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3.支持和鼓励铬渣资源综合利用，制定相关产品标准，推动钢铁企业消纳铬渣。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3"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典当业特种行业许可证核发</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县级以上地方公安机关</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《国务院对确需保留的行政审批项目设定行政许可的决定》</w:t>
            </w:r>
          </w:p>
        </w:tc>
        <w:tc>
          <w:tcPr>
            <w:tcW w:w="6670"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取消许可后，公安机关和有关部门要通过以下措施加强监管：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1.省级地方金融监管部门应当将办理“设立典当行及分支机构审批”（含设立、变更、注销）的信息在作出审批决定后5个工作日内推送至省级公安机关，公安机关据此将典当行及分支机构纳入监管范围，依法实施监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2.通过“双随机、一公开”监管等方式，加强对典当行的治安管理，及时化解风险隐患，发现违法犯罪活动要依法查处。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5"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通航建筑物设计文件和施工方案审批</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省级交通运输部门或航道管理机构</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《中华人民共和国航道管理条例》</w:t>
            </w:r>
          </w:p>
        </w:tc>
        <w:tc>
          <w:tcPr>
            <w:tcW w:w="6670"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取消许可后，交通运输部门、航道管理机构要通过以下措施加强监管：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1.要求通航建筑物建设单位完成通航建筑物设计后报请有关交通运输部门办理“水运工程建设项目设计文件审批”。</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2.加强对水运工程建设市场的监管，督促建设单位严格落实经审批同意的水运工程建设项目设计文件，发现违法违规行为要依法查处并向社会公开结果。</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3.依法实施信用监管，如实记录违法失信行为，实施差异化监管等措施。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7"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七类肥料（含大量元素水溶肥料、中量元素水溶肥料、微量元素水溶肥料、农用氯化钾镁、农用硫酸钾镁、复混肥料、掺混肥料）登记</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农业农村部、省级农业农村部门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《中华人民共和国农业法》</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《中华人民共和国农产品质量安全法》</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《中华人民共和国土壤污染防治法》</w:t>
            </w:r>
          </w:p>
        </w:tc>
        <w:tc>
          <w:tcPr>
            <w:tcW w:w="6670"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取消许可，改为备案。农业农村部门要通过以下措施加强监管：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1.建立健全部分肥料产品备案制度，建立网上备案平台，对不按要求备案的要依法设定并追究法律责任。</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2.开展“双随机、一公开”监管，对市场流通的七类肥料产品开展抽检，发现违法违规行为要依法查处并向社会公开结果。</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3.依法实施信用监管，如实记录违法失信行为，实施差异化监管等措施。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4"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乡村兽医登记许可</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县级农业农村（兽医）部门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《中华人民共和国动物防疫法》</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《乡村兽医管理办法》（原农业部令第17号）</w:t>
            </w:r>
          </w:p>
        </w:tc>
        <w:tc>
          <w:tcPr>
            <w:tcW w:w="6670"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取消许可，改为备案。农业农村（兽医）部门要通过以下措施加强监管：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1.建立健全乡村兽医服务人员备案制度，对不按要求备案的要依法设定并追究法律责任。要向社会公开备案情况，方便查询、就医，并发挥社会监督作用。</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2.开展“双随机、一公开”监管，畅通投诉举报渠道，发现违法违规行为要依法查处并向社会公开结果。</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3.依法实施信用监管，如实记录违法失信行为，实施差异化监管等措施。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7"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6</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兴建可能导致重点保护野生动植物生存环境污染和破坏的海岸工程建设项目审批</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设区的市级农业农村（渔业）部门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《中华人民共和国防治海岸工程建设项目污染损害海洋环境管理条例》</w:t>
            </w:r>
          </w:p>
        </w:tc>
        <w:tc>
          <w:tcPr>
            <w:tcW w:w="6670"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取消许可后，农业农村（渔业）部门和有关部门要通过以下措施加强监管：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1.对可能导致重点保护野生动植物生存环境污染和破坏的海岸工程建设项目，生态环境部门在审批环境影响评价文件时应征求农业农村（渔业）部门意见，科学分析建设项目对重点保护野生动植物生存环境的影响并提出相应保护要求。</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2.加强对建设项目环境保护措施落实情况的监管，发现违法违规行为要依法查处并向社会公开结果。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97"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7</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石油成品油批发、仓储经营资格审批</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商务部、省级商务部门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《国务院对确需保留的行政审批项目设定行政许可的决定》</w:t>
            </w:r>
          </w:p>
        </w:tc>
        <w:tc>
          <w:tcPr>
            <w:tcW w:w="6670" w:type="dxa"/>
            <w:tcMar>
              <w:top w:w="0" w:type="dxa"/>
              <w:left w:w="108" w:type="dxa"/>
              <w:bottom w:w="0" w:type="dxa"/>
              <w:right w:w="108" w:type="dxa"/>
            </w:tcMar>
            <w:vAlign w:val="center"/>
          </w:tcPr>
          <w:p>
            <w:pPr>
              <w:widowControl/>
              <w:spacing w:line="290" w:lineRule="exact"/>
              <w:rPr>
                <w:rFonts w:ascii="仿宋" w:hAnsi="仿宋" w:eastAsia="仿宋" w:cs="仿宋"/>
                <w:kern w:val="0"/>
                <w:sz w:val="24"/>
                <w:szCs w:val="24"/>
              </w:rPr>
            </w:pPr>
            <w:r>
              <w:rPr>
                <w:rFonts w:hint="eastAsia" w:ascii="仿宋" w:hAnsi="仿宋" w:eastAsia="仿宋" w:cs="仿宋"/>
                <w:spacing w:val="-2"/>
                <w:kern w:val="0"/>
                <w:sz w:val="24"/>
                <w:szCs w:val="24"/>
              </w:rPr>
              <w:t>取消许可后，商务部门要会同有关部门通过以下措施加强监管</w:t>
            </w:r>
            <w:r>
              <w:rPr>
                <w:rFonts w:hint="eastAsia" w:ascii="仿宋" w:hAnsi="仿宋" w:eastAsia="仿宋" w:cs="仿宋"/>
                <w:kern w:val="0"/>
                <w:sz w:val="24"/>
                <w:szCs w:val="24"/>
              </w:rPr>
              <w:t>：</w:t>
            </w:r>
          </w:p>
          <w:p>
            <w:pPr>
              <w:widowControl/>
              <w:spacing w:line="290" w:lineRule="exact"/>
              <w:rPr>
                <w:rFonts w:ascii="仿宋" w:hAnsi="仿宋" w:eastAsia="仿宋" w:cs="仿宋"/>
                <w:kern w:val="0"/>
                <w:sz w:val="24"/>
                <w:szCs w:val="24"/>
              </w:rPr>
            </w:pPr>
            <w:r>
              <w:rPr>
                <w:rFonts w:hint="eastAsia" w:ascii="仿宋" w:hAnsi="仿宋" w:eastAsia="仿宋" w:cs="仿宋"/>
                <w:kern w:val="0"/>
                <w:sz w:val="24"/>
                <w:szCs w:val="24"/>
              </w:rPr>
              <w:t>1.商务部门严格落实石油成品油流通行业监管职责。要求石油成品油批发、仓储企业建立购销和出入库台账制度，完善油品来源、销售去向、检验报告、检查记录等凭证材料档案。开展“双随机、一公开”监管，重点检查企业台账制度建立执行情况，发现违法违规行为依法处理或者提请有关部门予以查处。结合企业诚信经营和风险状况依法实施差异化监管。支持行业协会发挥行业自律作用。</w:t>
            </w:r>
          </w:p>
          <w:p>
            <w:pPr>
              <w:widowControl/>
              <w:spacing w:line="290" w:lineRule="exact"/>
              <w:rPr>
                <w:rFonts w:ascii="仿宋" w:hAnsi="仿宋" w:eastAsia="仿宋" w:cs="仿宋"/>
                <w:kern w:val="0"/>
                <w:sz w:val="24"/>
                <w:szCs w:val="24"/>
              </w:rPr>
            </w:pPr>
            <w:r>
              <w:rPr>
                <w:rFonts w:hint="eastAsia" w:ascii="仿宋" w:hAnsi="仿宋" w:eastAsia="仿宋" w:cs="仿宋"/>
                <w:kern w:val="0"/>
                <w:sz w:val="24"/>
                <w:szCs w:val="24"/>
              </w:rPr>
              <w:t>2.地方政府严格落实属地监管职责。建立跨部门联合监管机制，按照综合行政执法改革精神，统筹配置行政处罚职能和执法资源，加强协同监管。建立投诉举报制度，定期组织开展对石油成品油批发、仓储企业的专项检查，发现违法违规行为由各有关部门按职责依法依规查处。建立企业信用记录并纳入全国信用信息共享平台，对违法失信企业依法实施失信惩戒。</w:t>
            </w:r>
          </w:p>
          <w:p>
            <w:pPr>
              <w:widowControl/>
              <w:spacing w:line="290" w:lineRule="exact"/>
              <w:rPr>
                <w:rFonts w:ascii="仿宋" w:hAnsi="仿宋" w:eastAsia="仿宋" w:cs="仿宋"/>
                <w:kern w:val="0"/>
                <w:sz w:val="24"/>
                <w:szCs w:val="24"/>
              </w:rPr>
            </w:pPr>
            <w:r>
              <w:rPr>
                <w:rFonts w:hint="eastAsia" w:ascii="仿宋" w:hAnsi="仿宋" w:eastAsia="仿宋" w:cs="仿宋"/>
                <w:kern w:val="0"/>
                <w:sz w:val="24"/>
                <w:szCs w:val="24"/>
              </w:rPr>
              <w:t>3.相关部门严格落实专项监管职责。从事石油成品油批发、仓储经营活动的企业必须符合自然资源、规划、建设、质量计量、环保、安全生产、消防、治安反恐、商务、税务、交通运输、气象等方面法律法规和标准要求，依法依规开展经营。公安、自然资源、生态环境、住房城乡建设、交通运输、商务、应急管理、税务、市场监管、能源等部门按职责依法依规加强监管，</w:t>
            </w:r>
            <w:r>
              <w:rPr>
                <w:rFonts w:hint="eastAsia" w:ascii="仿宋" w:hAnsi="仿宋" w:eastAsia="仿宋" w:cs="仿宋"/>
                <w:spacing w:val="-6"/>
                <w:kern w:val="0"/>
                <w:sz w:val="24"/>
                <w:szCs w:val="24"/>
              </w:rPr>
              <w:t>承担安全生产监管责任的部门切实履行监管责任、守牢安全底线</w:t>
            </w:r>
            <w:r>
              <w:rPr>
                <w:rFonts w:hint="eastAsia" w:ascii="仿宋" w:hAnsi="仿宋" w:eastAsia="仿宋" w:cs="仿宋"/>
                <w:kern w:val="0"/>
                <w:sz w:val="24"/>
                <w:szCs w:val="24"/>
              </w:rPr>
              <w:t>。</w:t>
            </w:r>
          </w:p>
          <w:p>
            <w:pPr>
              <w:widowControl/>
              <w:spacing w:line="290" w:lineRule="exact"/>
              <w:rPr>
                <w:rFonts w:ascii="仿宋" w:hAnsi="仿宋" w:eastAsia="仿宋" w:cs="仿宋"/>
                <w:kern w:val="0"/>
                <w:sz w:val="24"/>
                <w:szCs w:val="24"/>
              </w:rPr>
            </w:pPr>
            <w:r>
              <w:rPr>
                <w:rFonts w:hint="eastAsia" w:ascii="仿宋" w:hAnsi="仿宋" w:eastAsia="仿宋" w:cs="仿宋"/>
                <w:kern w:val="0"/>
                <w:sz w:val="24"/>
                <w:szCs w:val="24"/>
              </w:rPr>
              <w:t>4.加强石油成品油批发、仓储行业监管信息共享运用。市场监管部门要及时将新登记经营范围涉及石油成品油批发、仓储的企业信息推送至有关主管部门。商务部门要将改革前已取得相应许可的石油成品油批发、仓储企业信息，以及行业监管中发现的超经营范围经营企业信息或者无照经营信息及时推送至有关主管部门。各有关主管部门要充分运用共享的监管信息，有针对性地加强监管执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6" w:hRule="atLeast"/>
          <w:jc w:val="center"/>
        </w:trPr>
        <w:tc>
          <w:tcPr>
            <w:tcW w:w="780" w:type="dxa"/>
            <w:tcMar>
              <w:top w:w="0" w:type="dxa"/>
              <w:left w:w="108" w:type="dxa"/>
              <w:bottom w:w="0" w:type="dxa"/>
              <w:right w:w="108" w:type="dxa"/>
            </w:tcMar>
            <w:vAlign w:val="center"/>
          </w:tcPr>
          <w:p>
            <w:pPr>
              <w:pStyle w:val="4"/>
              <w:spacing w:beforeAutospacing="0" w:afterAutospacing="0" w:line="320" w:lineRule="exact"/>
              <w:jc w:val="center"/>
              <w:rPr>
                <w:rFonts w:ascii="仿宋" w:hAnsi="仿宋" w:eastAsia="仿宋" w:cs="仿宋"/>
              </w:rPr>
            </w:pPr>
            <w:r>
              <w:rPr>
                <w:rFonts w:hint="eastAsia" w:ascii="仿宋" w:hAnsi="仿宋" w:eastAsia="仿宋" w:cs="仿宋"/>
              </w:rPr>
              <w:t>8</w:t>
            </w:r>
          </w:p>
        </w:tc>
        <w:tc>
          <w:tcPr>
            <w:tcW w:w="1641" w:type="dxa"/>
            <w:tcMar>
              <w:top w:w="0" w:type="dxa"/>
              <w:left w:w="108" w:type="dxa"/>
              <w:bottom w:w="0" w:type="dxa"/>
              <w:right w:w="108" w:type="dxa"/>
            </w:tcMar>
            <w:vAlign w:val="center"/>
          </w:tcPr>
          <w:p>
            <w:pPr>
              <w:pStyle w:val="10"/>
              <w:spacing w:line="320" w:lineRule="exact"/>
              <w:ind w:left="45" w:right="-17"/>
              <w:rPr>
                <w:rFonts w:ascii="仿宋" w:hAnsi="仿宋" w:eastAsia="仿宋" w:cs="仿宋"/>
                <w:kern w:val="0"/>
                <w:sz w:val="24"/>
              </w:rPr>
            </w:pPr>
            <w:r>
              <w:rPr>
                <w:rFonts w:hint="eastAsia" w:ascii="仿宋" w:hAnsi="仿宋" w:eastAsia="仿宋" w:cs="仿宋"/>
                <w:kern w:val="0"/>
                <w:sz w:val="24"/>
              </w:rPr>
              <w:t>权限内外商投 资 企 业（含非独立法人分支机构） 设立及变更的审批</w:t>
            </w:r>
          </w:p>
        </w:tc>
        <w:tc>
          <w:tcPr>
            <w:tcW w:w="1194" w:type="dxa"/>
            <w:tcMar>
              <w:top w:w="0" w:type="dxa"/>
              <w:left w:w="108" w:type="dxa"/>
              <w:bottom w:w="0" w:type="dxa"/>
              <w:right w:w="108" w:type="dxa"/>
            </w:tcMar>
            <w:vAlign w:val="center"/>
          </w:tcPr>
          <w:p>
            <w:pPr>
              <w:pStyle w:val="4"/>
              <w:spacing w:beforeAutospacing="0" w:afterAutospacing="0" w:line="320" w:lineRule="exact"/>
              <w:rPr>
                <w:rFonts w:ascii="仿宋" w:hAnsi="仿宋" w:eastAsia="仿宋" w:cs="仿宋"/>
              </w:rPr>
            </w:pPr>
            <w:r>
              <w:rPr>
                <w:rFonts w:hint="eastAsia" w:ascii="仿宋" w:hAnsi="仿宋" w:eastAsia="仿宋" w:cs="仿宋"/>
              </w:rPr>
              <w:t>商务部、省级商务部门</w:t>
            </w:r>
          </w:p>
        </w:tc>
        <w:tc>
          <w:tcPr>
            <w:tcW w:w="3059" w:type="dxa"/>
            <w:tcMar>
              <w:top w:w="0" w:type="dxa"/>
              <w:left w:w="108" w:type="dxa"/>
              <w:bottom w:w="0" w:type="dxa"/>
              <w:right w:w="108" w:type="dxa"/>
            </w:tcMar>
            <w:vAlign w:val="center"/>
          </w:tcPr>
          <w:p>
            <w:pPr>
              <w:pStyle w:val="10"/>
              <w:spacing w:line="320" w:lineRule="exact"/>
              <w:rPr>
                <w:rFonts w:ascii="仿宋" w:hAnsi="仿宋" w:eastAsia="仿宋" w:cs="仿宋"/>
                <w:kern w:val="0"/>
                <w:sz w:val="24"/>
              </w:rPr>
            </w:pPr>
            <w:r>
              <w:rPr>
                <w:rFonts w:hint="eastAsia" w:ascii="仿宋" w:hAnsi="仿宋" w:eastAsia="仿宋" w:cs="仿宋"/>
                <w:kern w:val="0"/>
                <w:sz w:val="24"/>
              </w:rPr>
              <w:t>《中华人民共和国外商投资法》</w:t>
            </w:r>
          </w:p>
          <w:p>
            <w:pPr>
              <w:pStyle w:val="10"/>
              <w:spacing w:line="320" w:lineRule="exact"/>
              <w:rPr>
                <w:rFonts w:ascii="仿宋" w:hAnsi="仿宋" w:eastAsia="仿宋" w:cs="仿宋"/>
                <w:kern w:val="0"/>
                <w:sz w:val="24"/>
              </w:rPr>
            </w:pPr>
            <w:r>
              <w:rPr>
                <w:rFonts w:hint="eastAsia" w:ascii="仿宋" w:hAnsi="仿宋" w:eastAsia="仿宋" w:cs="仿宋"/>
                <w:kern w:val="0"/>
                <w:sz w:val="24"/>
              </w:rPr>
              <w:t>《中华人民共和国中外合作经营企业法》</w:t>
            </w:r>
          </w:p>
          <w:p>
            <w:pPr>
              <w:pStyle w:val="10"/>
              <w:spacing w:line="320" w:lineRule="exact"/>
              <w:rPr>
                <w:rFonts w:ascii="仿宋" w:hAnsi="仿宋" w:eastAsia="仿宋" w:cs="仿宋"/>
                <w:kern w:val="0"/>
                <w:sz w:val="24"/>
              </w:rPr>
            </w:pPr>
            <w:r>
              <w:rPr>
                <w:rFonts w:hint="eastAsia" w:ascii="仿宋" w:hAnsi="仿宋" w:eastAsia="仿宋" w:cs="仿宋"/>
                <w:kern w:val="0"/>
                <w:sz w:val="24"/>
              </w:rPr>
              <w:t>《中华人民共和国中外合资经营企业法》</w:t>
            </w:r>
          </w:p>
          <w:p>
            <w:pPr>
              <w:pStyle w:val="10"/>
              <w:spacing w:line="320" w:lineRule="exact"/>
              <w:rPr>
                <w:rFonts w:ascii="仿宋" w:hAnsi="仿宋" w:eastAsia="仿宋" w:cs="仿宋"/>
                <w:sz w:val="24"/>
              </w:rPr>
            </w:pPr>
            <w:r>
              <w:rPr>
                <w:rFonts w:hint="eastAsia" w:ascii="仿宋" w:hAnsi="仿宋" w:eastAsia="仿宋" w:cs="仿宋"/>
                <w:kern w:val="0"/>
                <w:sz w:val="24"/>
              </w:rPr>
              <w:t>《中华人民共和国外资企业法》</w:t>
            </w:r>
          </w:p>
        </w:tc>
        <w:tc>
          <w:tcPr>
            <w:tcW w:w="6670"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取消许可后，商务部门要会同有关部门通过以下措施加强监管：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1.外商投资企业设立及变更实行信息报告制度，无需办理外商投资企业设立、变更审批或备案。</w:t>
            </w:r>
          </w:p>
          <w:p>
            <w:pPr>
              <w:spacing w:line="320" w:lineRule="exact"/>
              <w:rPr>
                <w:rFonts w:ascii="仿宋" w:hAnsi="仿宋" w:eastAsia="仿宋" w:cs="仿宋"/>
                <w:spacing w:val="-6"/>
                <w:kern w:val="0"/>
                <w:sz w:val="24"/>
                <w:szCs w:val="24"/>
              </w:rPr>
            </w:pPr>
            <w:r>
              <w:rPr>
                <w:rFonts w:hint="eastAsia" w:ascii="仿宋" w:hAnsi="仿宋" w:eastAsia="仿宋" w:cs="仿宋"/>
                <w:kern w:val="0"/>
                <w:sz w:val="24"/>
                <w:szCs w:val="24"/>
              </w:rPr>
              <w:t>2.</w:t>
            </w:r>
            <w:r>
              <w:rPr>
                <w:rFonts w:hint="eastAsia" w:ascii="仿宋" w:hAnsi="仿宋" w:eastAsia="仿宋" w:cs="仿宋"/>
                <w:spacing w:val="-6"/>
                <w:kern w:val="0"/>
                <w:sz w:val="24"/>
                <w:szCs w:val="24"/>
              </w:rPr>
              <w:t>外商投资准入负面清单以外，企业按要求进行外商投资信息报告。外商投资准入负面清单以内，应当符合负面清单规定的禁止类或限制类等限制性准入特别管理措施，实行信息报告制度。</w:t>
            </w:r>
          </w:p>
          <w:p>
            <w:pPr>
              <w:spacing w:line="320" w:lineRule="exact"/>
              <w:rPr>
                <w:rFonts w:ascii="仿宋" w:hAnsi="仿宋" w:eastAsia="仿宋" w:cs="仿宋"/>
                <w:kern w:val="0"/>
                <w:sz w:val="24"/>
                <w:szCs w:val="24"/>
              </w:rPr>
            </w:pPr>
            <w:r>
              <w:rPr>
                <w:rFonts w:hint="eastAsia" w:ascii="仿宋" w:hAnsi="仿宋" w:eastAsia="仿宋" w:cs="仿宋"/>
                <w:kern w:val="0"/>
                <w:sz w:val="24"/>
                <w:szCs w:val="24"/>
              </w:rPr>
              <w:t>3.外商投资信息报告实行属地管理，按照企业注册地负责管理和服务工作，及时处理外资综合管理应用系统中的信息报告，对存在未报、错报、漏报的企业或其投资者，应当及时告知并督促其在企业登记系统或国家企业信息公示系统中补报或更正。</w:t>
            </w:r>
          </w:p>
          <w:p>
            <w:pPr>
              <w:spacing w:line="320" w:lineRule="exact"/>
              <w:rPr>
                <w:rFonts w:ascii="仿宋" w:hAnsi="仿宋" w:eastAsia="仿宋" w:cs="仿宋"/>
                <w:sz w:val="24"/>
                <w:szCs w:val="24"/>
              </w:rPr>
            </w:pPr>
            <w:r>
              <w:rPr>
                <w:rFonts w:hint="eastAsia" w:ascii="仿宋" w:hAnsi="仿宋" w:eastAsia="仿宋" w:cs="仿宋"/>
                <w:kern w:val="0"/>
                <w:sz w:val="24"/>
                <w:szCs w:val="24"/>
              </w:rPr>
              <w:t>4.开展“双随机、一公开”监管，畅通投诉举报渠道，依法建立健全外商投资企业投诉机制，协调解决境外投资者有关问题。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9"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9</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部分医疗机构（除三级医院、三级妇幼保健院、急救中心、急救站、临床检验中心、中外合资合作医疗机构、港澳台独资医疗机构外）《设置医疗机构批准书》核发</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县级以上地方卫生健康部门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《医疗机构管理条例》</w:t>
            </w:r>
          </w:p>
        </w:tc>
        <w:tc>
          <w:tcPr>
            <w:tcW w:w="6670"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取消许可后，卫生健康部门要通过以下措施加强监管：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1.完善医疗机构设置规划方式,对社会办医疗机构实行指导性规划。加强对社会资本投资医疗机构的服务，同时注意防止以服务之名行审批之实。</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2.严格实施“医疗机构执业登记”，并将审批结果向社会公开。</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3.开展“双随机、一公开”监管、重点监管等，畅通投诉举报渠道，依法处理医患纠纷和医疗事故，加大对医疗机构的监督检查力度，发现违法违规行为要依法查处并向社会公开结果。</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4.依法实施信用监管，如实记录违法失信行为，实施差异化监管措施，对严重违法的医疗机构及其从业人员实行行业禁入。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7"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10</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职业卫生技术服务机构丙级资质认可</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设区的市级卫生健康部门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《中华人民共和国职业病防治法》</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《职业卫生技术服务机构监督管理暂行办法》（原国家安全监管总局令第50号）</w:t>
            </w:r>
          </w:p>
        </w:tc>
        <w:tc>
          <w:tcPr>
            <w:tcW w:w="6670"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取消许可，整合至“职业卫生技术服务机构乙级资质认可”。卫生健康部门要通过以下措施加强监管：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1.适当降低职业卫生技术服务机构乙级资质条件要求，完善职业卫生技术服务标准。引导现有职业卫生技术服务丙级机构换领新的乙级资质证书，拓宽业务范围和业务地域范围。</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2.开展“双随机、一公开”监管，畅通投诉举报渠道，发现违法违规行为要依法查处并向社会公开结果。</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3.对存在职业病危害因素的企业，依法开展职业病危害因素监督检查。发现职业卫生技术服务机构出具虚假报告的，依法追究法律责任。</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4.依法实施信用监管，如实记录违法失信行为，实施差异化监管等措施。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2"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11</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林木种子质量检验机构资质认定</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国家林草局、省级林草部门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《中华人民共和国种子法》</w:t>
            </w:r>
          </w:p>
        </w:tc>
        <w:tc>
          <w:tcPr>
            <w:tcW w:w="6670"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spacing w:val="-6"/>
                <w:kern w:val="0"/>
                <w:sz w:val="24"/>
                <w:szCs w:val="24"/>
              </w:rPr>
              <w:t>取消许可后，林草部门和市场监管部门要通过以下措施加强监管</w:t>
            </w:r>
            <w:r>
              <w:rPr>
                <w:rFonts w:hint="eastAsia" w:ascii="仿宋" w:hAnsi="仿宋" w:eastAsia="仿宋" w:cs="仿宋"/>
                <w:kern w:val="0"/>
                <w:sz w:val="24"/>
                <w:szCs w:val="24"/>
              </w:rPr>
              <w:t>：</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1.市场监管总局规定或调整检验检测机构准入条件时，应征求国家林草局意见，体现林草部门关于林木种子质量检验机构的特别准入要求。新增或续期的林木种子质量检验机构直接向市场监管部门申请办理有关许可，市场监管部门审批时应征求同级林草部门意见。</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2.市场监管部门通过“双随机、一公开”监管、重点监管、信用监管等方式，对检验检测机构实施日常管理，发现违法违规行为要依法查处并向社会公开结果，涉及林木种子质量检验机构的还要及时推送至同级林草部门。</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3.林草部门依法委托有关检验检测机构从事检验检测活动，并对检验检测活动进行监管，指导有关检验检测机构提升业务能力和管理水平。发现违法违规行为要及时通报有关市场监管部门，有关市场监管部门应当依法查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9"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12</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草种质量检验机构资质认定</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省级林草部门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《中华人民共和国种子法》</w:t>
            </w:r>
          </w:p>
        </w:tc>
        <w:tc>
          <w:tcPr>
            <w:tcW w:w="6670"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spacing w:val="-6"/>
                <w:kern w:val="0"/>
                <w:sz w:val="24"/>
                <w:szCs w:val="24"/>
              </w:rPr>
              <w:t>取消许可后，林草部门和市场监管部门要通过以下措施加强监管</w:t>
            </w:r>
            <w:r>
              <w:rPr>
                <w:rFonts w:hint="eastAsia" w:ascii="仿宋" w:hAnsi="仿宋" w:eastAsia="仿宋" w:cs="仿宋"/>
                <w:kern w:val="0"/>
                <w:sz w:val="24"/>
                <w:szCs w:val="24"/>
              </w:rPr>
              <w:t>：</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1.市场监管总局规定或调整检验检测机构准入条件时，要征求国家林草局意见，体现林草部门关于草种质量检验机构的特别准入要求。新增草种质量检验机构直接向市场监管部门申请办理有关许可，市场监管部门审批时应征求同级林草部门意见。</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2.市场监管部门通过“双随机、一公开”监管、重点监管、信用监管等方式，对检验检测机构实施日常管理，发现违法违规行为要依法查处并向社会公开结果，涉及草种质量检验机构的还要及时推送至同级林草部门。</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3.</w:t>
            </w:r>
            <w:r>
              <w:rPr>
                <w:rFonts w:hint="eastAsia" w:ascii="仿宋" w:hAnsi="仿宋" w:eastAsia="仿宋" w:cs="仿宋"/>
                <w:spacing w:val="-6"/>
                <w:kern w:val="0"/>
                <w:sz w:val="24"/>
                <w:szCs w:val="24"/>
              </w:rPr>
              <w:t>林草部门依法委托有关检验检测机构从事检验检测活动，并对检验检测活动进行监管，指导有关检验检测机构提升业务能力和管理水平。发现违法违规行为要及时通报有关市场监管部门，有关市场监管部门应当依法查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1"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13</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外国人进入国家级环境保护自然保护区审批</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省级林草部门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《中华人民共和国自然保护区条例》</w:t>
            </w:r>
          </w:p>
        </w:tc>
        <w:tc>
          <w:tcPr>
            <w:tcW w:w="6670"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取消许可后，林草部门要通过以下措施加强监管：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1.加强对国家级自然保护区的日常监管，指导国家级自然保护区管理机构对进入保护区的外国人加强管理。发现违法违规行为要依法查处并向社会公开结果，发现涉嫌犯罪活动要及时移交有关机关处理。</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2.严格实施猎捕野生动物、采伐或采集野生植物、出口野生动植物及其产品等方面的许可管理，防止资源流失。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0"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14</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外国人进入国家级渔业自然保护区审批</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省级林草部门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《中华人民共和国自然保护区条例》</w:t>
            </w:r>
          </w:p>
        </w:tc>
        <w:tc>
          <w:tcPr>
            <w:tcW w:w="6670"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取消许可后，林草部门要通过以下措施加强监管：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1.加强对国家级自然保护区的日常监管，指导国家级自然保护区管理机构对进入保护区的外国人加强管理。发现违法违规行为要依法查处并向社会公开结果，发现涉嫌犯罪活动要及时移交有关机关处理。</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2.严格实施猎捕野生动物、采伐或采集野生植物、出口野生动植物及其产品等方面的许可管理，防止资源流失。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5"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15</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假肢和矫形器（辅助器具）生产装配企业资格认定</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省级民政部门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《国务院对确需保留的行政审批项目设定行政许可的决定》</w:t>
            </w:r>
          </w:p>
        </w:tc>
        <w:tc>
          <w:tcPr>
            <w:tcW w:w="6670"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取消审批后，民政部门要会同相关部门通过以下措施加强事中事后监管：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1.加强对相关企业的全面监管。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2.重点监管产品目录、技术人员、专业设备、生产环境等。</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3.全面推行“双随机、一公开”监管模式，实施定期检查和不定期检查。</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4.优化监管程序，按照实施检查、作出结论和责令整改等程序进行。</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5.对违法违规、弄虚作假或不守诚信的企业依据法律法规予以处罚和信息公开。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0"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16</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船员服务簿签发</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交通运输部，省、市、县级交通运输部门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《中华人民共和国船员条例》</w:t>
            </w:r>
          </w:p>
        </w:tc>
        <w:tc>
          <w:tcPr>
            <w:tcW w:w="6670"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spacing w:val="-6"/>
                <w:kern w:val="0"/>
                <w:sz w:val="24"/>
                <w:szCs w:val="24"/>
              </w:rPr>
              <w:t>取消审批后，交通运输部门要通过以下措施加强事中事后监管</w:t>
            </w:r>
            <w:r>
              <w:rPr>
                <w:rFonts w:hint="eastAsia" w:ascii="仿宋" w:hAnsi="仿宋" w:eastAsia="仿宋" w:cs="仿宋"/>
                <w:kern w:val="0"/>
                <w:sz w:val="24"/>
                <w:szCs w:val="24"/>
              </w:rPr>
              <w:t>：</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1.核发船员适任证书时，直接发放新的《船员服务簿》。</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2.优化船员适任证办证程序，缩短办证时间，提供邮寄服务。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3.加大船员违法行为的打击力度，将船员违法记分和行政处罚信息录入“中国海事协同管理平台”。</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4.建立船员诚信管理制度，提高船员诚信管理的信息化水平，逐步开放船员诚信记录。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5"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17</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国际道路货物运输许可</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省级交通运输部门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《中华人民共和国道路运输条例》</w:t>
            </w:r>
          </w:p>
        </w:tc>
        <w:tc>
          <w:tcPr>
            <w:tcW w:w="6670"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取消审批后，交通运输部门要会同有关部门通过以下措施加强事中事后监管：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1.建立国际道路货物运输备案制度，要求企业主动履行备案义务。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2.督促和引导按照国际道路货物运输标准体系发展。</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3.根据“双随机、一公开”监管要求，制定年度监督检查计划，组织开展现场监督检查和抽查。</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4.建立部门联合惩戒机制，对运输企业存在严重失信行为，及时告知相关职能部门，实行多部门联合（执法）惩戒。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5"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18</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道路货物运输站（场）经营许可</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县级交通运输部门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《中华人民共和国道路运输条例》</w:t>
            </w:r>
          </w:p>
        </w:tc>
        <w:tc>
          <w:tcPr>
            <w:tcW w:w="6670"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取消审批后，交通运输部门要通过以下措施加强事中事后监管：</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1.加强对道路货物运输站（场）及入驻企业的安全监管，督促企业履行安全生产主体责任。</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2.实施道路货物运输站（场）相关标准，推动站（场）建设营运标准化。</w:t>
            </w:r>
          </w:p>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3. 建立健全道路货物运输企业及从业人员诚信考核制度，落实信用监管有关考核。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4"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19</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饲料添加剂预混合饲料、混合型饲料添加剂产品批准文号核发</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省级农业农村部门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《饲料和饲料添加剂管理条例》</w:t>
            </w:r>
          </w:p>
        </w:tc>
        <w:tc>
          <w:tcPr>
            <w:tcW w:w="6670"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取消审批后，改为备案。各级农业农村部门要通过以下措施加强事中事后监管：</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1.严格实施饲料和饲料添加剂生产许可管理，加大日常监管力度，强化对企业标准制定工作的服务和指导，督促企业建立全程质量安全管理和追溯体系。</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2.监督饲料企业严格按照产品标准进行生产，对产品是否符合国家强制性标准和规范性技术要求实施严格监管，严厉打击违规或超量添加抗生素、激素等化学物质的行为。</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3.加大饲料产品经营和使用环节监督检查力度，严肃查处假冒伪劣饲料产品。</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4.加强饲料企业信用监管，健全饲料行业诚信体系，及时记录饲料企业诚信状况并向社会公开。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8"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20</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新兽药临床试验审批</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省级农业农村部门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《兽药管理条例》</w:t>
            </w:r>
          </w:p>
        </w:tc>
        <w:tc>
          <w:tcPr>
            <w:tcW w:w="6670"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取消审批后，改为备案。省级农业农村部门要通过以下措施加强事中事后监管：</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1.建立新兽药临床试验资料备案制度，及时掌握兽药临床试验情况。</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2.加强对兽药企业从业人员的培训，帮助试验人员深入掌握兽药临床试验规范要求，指导临床试验规范开展。</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3.加大执法力度，监督有关单位按照要求开展临床试验，严肃查处违法行为。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1" w:hRule="atLeast"/>
          <w:jc w:val="center"/>
        </w:trPr>
        <w:tc>
          <w:tcPr>
            <w:tcW w:w="780" w:type="dxa"/>
            <w:tcMar>
              <w:top w:w="0" w:type="dxa"/>
              <w:left w:w="108" w:type="dxa"/>
              <w:bottom w:w="0" w:type="dxa"/>
              <w:right w:w="108" w:type="dxa"/>
            </w:tcMar>
            <w:vAlign w:val="center"/>
          </w:tcPr>
          <w:p>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21</w:t>
            </w:r>
          </w:p>
        </w:tc>
        <w:tc>
          <w:tcPr>
            <w:tcW w:w="1641"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名称预先核准（包括企业、企业集团、个体工商户、农民专业合作社名称预先核准）</w:t>
            </w:r>
          </w:p>
        </w:tc>
        <w:tc>
          <w:tcPr>
            <w:tcW w:w="1194"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市场监管总局，省、市、县级市场监管部门</w:t>
            </w:r>
          </w:p>
        </w:tc>
        <w:tc>
          <w:tcPr>
            <w:tcW w:w="3059" w:type="dxa"/>
            <w:tcMar>
              <w:top w:w="0" w:type="dxa"/>
              <w:left w:w="108" w:type="dxa"/>
              <w:bottom w:w="0" w:type="dxa"/>
              <w:right w:w="108" w:type="dxa"/>
            </w:tcMar>
            <w:vAlign w:val="center"/>
          </w:tcPr>
          <w:p>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《中华人民共和国公司登记管理条例》《中华人民共和国企业法人登记管理条例》《企业名称登记管理规定》《个体工商户条例》《农民专业合作社登记管理条例》</w:t>
            </w:r>
          </w:p>
        </w:tc>
        <w:tc>
          <w:tcPr>
            <w:tcW w:w="6670"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取消审批后，各级市场监管部门要通过以下措施加强事中事后监管：</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1.全面推行企业名称自主申报，不再发放《企业名称预先核准通知书》。</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2.进一步优化企业登记服务，完善企业名称数据库和企业名称申报系统，加强名称数据库动态维护和管理。</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3.依法审查企业名称登记事项，企业名称在企业登记时与其他登记事项一并审查，对不符合规定的企业名称不予登记并说明理由。</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4.加强对违反登记事项法律法规的违法行为监管和查处，将违法行为纳入随机抽查事项清单，作为必查事项。</w:t>
            </w:r>
          </w:p>
        </w:tc>
      </w:tr>
    </w:tbl>
    <w:p>
      <w:pPr>
        <w:widowControl/>
        <w:shd w:val="clear" w:color="auto" w:fill="FFFFFF"/>
        <w:rPr>
          <w:rFonts w:ascii="Calibri" w:hAnsi="Calibri" w:eastAsia="宋体" w:cs="宋体"/>
          <w:color w:val="333333"/>
          <w:kern w:val="0"/>
          <w:szCs w:val="21"/>
        </w:rPr>
      </w:pPr>
      <w:r>
        <w:rPr>
          <w:rFonts w:ascii="Calibri" w:hAnsi="Calibri" w:eastAsia="宋体" w:cs="宋体"/>
          <w:color w:val="333333"/>
          <w:kern w:val="0"/>
          <w:szCs w:val="21"/>
        </w:rPr>
        <w:t> </w:t>
      </w:r>
    </w:p>
    <w:p>
      <w:pPr>
        <w:widowControl/>
        <w:shd w:val="clear" w:color="auto" w:fill="FFFFFF"/>
        <w:rPr>
          <w:rFonts w:ascii="Calibri" w:hAnsi="Calibri" w:eastAsia="宋体" w:cs="宋体"/>
          <w:color w:val="333333"/>
          <w:kern w:val="0"/>
          <w:szCs w:val="21"/>
        </w:rPr>
      </w:pPr>
    </w:p>
    <w:p>
      <w:pPr>
        <w:widowControl/>
        <w:shd w:val="clear" w:color="auto" w:fill="FFFFFF"/>
        <w:rPr>
          <w:rFonts w:ascii="Calibri" w:hAnsi="Calibri" w:eastAsia="宋体" w:cs="宋体"/>
          <w:color w:val="333333"/>
          <w:kern w:val="0"/>
          <w:szCs w:val="21"/>
        </w:rPr>
      </w:pPr>
    </w:p>
    <w:p>
      <w:pPr>
        <w:widowControl/>
        <w:shd w:val="clear" w:color="auto" w:fill="FFFFFF"/>
        <w:rPr>
          <w:rFonts w:ascii="Calibri" w:hAnsi="Calibri" w:eastAsia="宋体" w:cs="宋体"/>
          <w:color w:val="333333"/>
          <w:kern w:val="0"/>
          <w:szCs w:val="21"/>
        </w:rPr>
      </w:pPr>
    </w:p>
    <w:p>
      <w:pPr>
        <w:widowControl/>
        <w:shd w:val="clear" w:color="auto" w:fill="FFFFFF"/>
      </w:pPr>
    </w:p>
    <w:sectPr>
      <w:pgSz w:w="16838" w:h="11906" w:orient="landscape"/>
      <w:pgMar w:top="1531" w:right="1531" w:bottom="1587" w:left="198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E8A6F75-4196-422E-A7E5-E8B25FAF56AA}"/>
  </w:font>
  <w:font w:name="Arial">
    <w:panose1 w:val="020B0604020202020204"/>
    <w:charset w:val="01"/>
    <w:family w:val="swiss"/>
    <w:pitch w:val="default"/>
    <w:sig w:usb0="E0002AFF" w:usb1="C0007843" w:usb2="00000009" w:usb3="00000000" w:csb0="400001FF" w:csb1="FFFF0000"/>
    <w:embedRegular r:id="rId2" w:fontKey="{2743B6A3-7437-43A0-B76E-6260506D5DB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1DD30C13-9F5B-40F8-A0CE-875C1ECCAECA}"/>
  </w:font>
  <w:font w:name="Symbol">
    <w:panose1 w:val="05050102010706020507"/>
    <w:charset w:val="02"/>
    <w:family w:val="roman"/>
    <w:pitch w:val="default"/>
    <w:sig w:usb0="00000000" w:usb1="00000000" w:usb2="00000000" w:usb3="00000000" w:csb0="80000000" w:csb1="00000000"/>
    <w:embedRegular r:id="rId4" w:fontKey="{E78B4677-348B-4951-A370-6D551AF56AAD}"/>
  </w:font>
  <w:font w:name="Calibri">
    <w:panose1 w:val="020F0502020204030204"/>
    <w:charset w:val="00"/>
    <w:family w:val="swiss"/>
    <w:pitch w:val="default"/>
    <w:sig w:usb0="E00002FF" w:usb1="4000ACFF" w:usb2="00000001" w:usb3="00000000" w:csb0="2000019F" w:csb1="00000000"/>
    <w:embedRegular r:id="rId5" w:fontKey="{8E4A6985-DD43-432B-B099-F3AE01FB7D40}"/>
  </w:font>
  <w:font w:name="方正黑体简体">
    <w:altName w:val="Arial Unicode MS"/>
    <w:panose1 w:val="00000000000000000000"/>
    <w:charset w:val="86"/>
    <w:family w:val="auto"/>
    <w:pitch w:val="default"/>
    <w:sig w:usb0="00000000" w:usb1="00000000" w:usb2="00000000" w:usb3="00000000" w:csb0="00040000" w:csb1="00000000"/>
    <w:embedRegular r:id="rId6" w:fontKey="{6D5CA733-F147-418B-A4C0-6B9630869574}"/>
  </w:font>
  <w:font w:name="方正小标宋简体">
    <w:panose1 w:val="03000509000000000000"/>
    <w:charset w:val="86"/>
    <w:family w:val="script"/>
    <w:pitch w:val="default"/>
    <w:sig w:usb0="00000001" w:usb1="080E0000" w:usb2="00000000" w:usb3="00000000" w:csb0="00040000" w:csb1="00000000"/>
    <w:embedRegular r:id="rId7" w:fontKey="{2A42C3C0-19D7-420A-9916-BD51EF22F0A7}"/>
  </w:font>
  <w:font w:name="方正楷体简体">
    <w:panose1 w:val="02010601030101010101"/>
    <w:charset w:val="86"/>
    <w:family w:val="auto"/>
    <w:pitch w:val="default"/>
    <w:sig w:usb0="00000001" w:usb1="080E0000" w:usb2="00000000" w:usb3="00000000" w:csb0="00040000" w:csb1="00000000"/>
    <w:embedRegular r:id="rId8" w:fontKey="{2014E2EA-9CF9-40C6-AA5F-0C49FD6EDBF4}"/>
  </w:font>
  <w:font w:name="仿宋">
    <w:panose1 w:val="02010609060101010101"/>
    <w:charset w:val="86"/>
    <w:family w:val="modern"/>
    <w:pitch w:val="default"/>
    <w:sig w:usb0="800002BF" w:usb1="38CF7CFA" w:usb2="00000016" w:usb3="00000000" w:csb0="00040001" w:csb1="00000000"/>
    <w:embedRegular r:id="rId9" w:fontKey="{3116C132-0261-4C73-9B0B-1B99CF78541E}"/>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C5A"/>
    <w:rsid w:val="000305CC"/>
    <w:rsid w:val="001168A7"/>
    <w:rsid w:val="00175CFD"/>
    <w:rsid w:val="001C7121"/>
    <w:rsid w:val="001F0D5C"/>
    <w:rsid w:val="00210B14"/>
    <w:rsid w:val="002661F5"/>
    <w:rsid w:val="00297A59"/>
    <w:rsid w:val="002A1785"/>
    <w:rsid w:val="00366C45"/>
    <w:rsid w:val="003E20F7"/>
    <w:rsid w:val="003F196A"/>
    <w:rsid w:val="004132D9"/>
    <w:rsid w:val="004329E2"/>
    <w:rsid w:val="00446416"/>
    <w:rsid w:val="004920E7"/>
    <w:rsid w:val="004B68BA"/>
    <w:rsid w:val="004B6EAC"/>
    <w:rsid w:val="004C1670"/>
    <w:rsid w:val="00540EC4"/>
    <w:rsid w:val="00561EC0"/>
    <w:rsid w:val="0057741B"/>
    <w:rsid w:val="005D70DA"/>
    <w:rsid w:val="00697235"/>
    <w:rsid w:val="00702235"/>
    <w:rsid w:val="0071084A"/>
    <w:rsid w:val="00757393"/>
    <w:rsid w:val="007A28B5"/>
    <w:rsid w:val="007A7389"/>
    <w:rsid w:val="007E5845"/>
    <w:rsid w:val="008A2811"/>
    <w:rsid w:val="008B0BC9"/>
    <w:rsid w:val="008C4C5A"/>
    <w:rsid w:val="009348D7"/>
    <w:rsid w:val="00976BD9"/>
    <w:rsid w:val="00990B92"/>
    <w:rsid w:val="009E1E71"/>
    <w:rsid w:val="00A016D2"/>
    <w:rsid w:val="00A04567"/>
    <w:rsid w:val="00A048BD"/>
    <w:rsid w:val="00A24543"/>
    <w:rsid w:val="00A33EBD"/>
    <w:rsid w:val="00A572B8"/>
    <w:rsid w:val="00A60584"/>
    <w:rsid w:val="00A80F1F"/>
    <w:rsid w:val="00AB6CD8"/>
    <w:rsid w:val="00B13BEB"/>
    <w:rsid w:val="00B735F6"/>
    <w:rsid w:val="00B831A1"/>
    <w:rsid w:val="00BD116B"/>
    <w:rsid w:val="00C30788"/>
    <w:rsid w:val="00C315A8"/>
    <w:rsid w:val="00C81C4F"/>
    <w:rsid w:val="00CD6CC3"/>
    <w:rsid w:val="00CF489A"/>
    <w:rsid w:val="00D94E15"/>
    <w:rsid w:val="00DA2116"/>
    <w:rsid w:val="00DE1391"/>
    <w:rsid w:val="00E07846"/>
    <w:rsid w:val="00E71757"/>
    <w:rsid w:val="00EA50F1"/>
    <w:rsid w:val="00EC5253"/>
    <w:rsid w:val="00ED4BBC"/>
    <w:rsid w:val="00F5314F"/>
    <w:rsid w:val="00FB0EE0"/>
    <w:rsid w:val="00FC6035"/>
    <w:rsid w:val="00FE5109"/>
    <w:rsid w:val="144A77FB"/>
    <w:rsid w:val="1DF3350B"/>
    <w:rsid w:val="4DEA2160"/>
    <w:rsid w:val="580942A8"/>
    <w:rsid w:val="5DB2795E"/>
    <w:rsid w:val="6BC74A7F"/>
    <w:rsid w:val="7C5117B9"/>
    <w:rsid w:val="7F1F3E8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semiHidden/>
    <w:unhideWhenUsed/>
    <w:uiPriority w:val="99"/>
    <w:pPr>
      <w:tabs>
        <w:tab w:val="center" w:pos="4153"/>
        <w:tab w:val="right" w:pos="8306"/>
      </w:tabs>
      <w:snapToGrid w:val="0"/>
      <w:jc w:val="left"/>
    </w:pPr>
    <w:rPr>
      <w:sz w:val="18"/>
      <w:szCs w:val="18"/>
    </w:rPr>
  </w:style>
  <w:style w:type="paragraph" w:styleId="3">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7">
    <w:name w:val="Emphasis"/>
    <w:basedOn w:val="6"/>
    <w:qFormat/>
    <w:uiPriority w:val="0"/>
    <w:rPr>
      <w:i/>
    </w:rPr>
  </w:style>
  <w:style w:type="character" w:customStyle="1" w:styleId="8">
    <w:name w:val="页眉 Char"/>
    <w:basedOn w:val="6"/>
    <w:link w:val="3"/>
    <w:semiHidden/>
    <w:qFormat/>
    <w:uiPriority w:val="99"/>
    <w:rPr>
      <w:sz w:val="18"/>
      <w:szCs w:val="18"/>
    </w:rPr>
  </w:style>
  <w:style w:type="character" w:customStyle="1" w:styleId="9">
    <w:name w:val="页脚 Char"/>
    <w:basedOn w:val="6"/>
    <w:link w:val="2"/>
    <w:semiHidden/>
    <w:qFormat/>
    <w:uiPriority w:val="99"/>
    <w:rPr>
      <w:sz w:val="18"/>
      <w:szCs w:val="18"/>
    </w:rPr>
  </w:style>
  <w:style w:type="paragraph" w:customStyle="1" w:styleId="10">
    <w:name w:val="Table Paragraph"/>
    <w:basedOn w:val="1"/>
    <w:qFormat/>
    <w:uiPriority w:val="1"/>
    <w:rPr>
      <w:rFonts w:ascii="宋体" w:hAnsi="宋体" w:eastAsia="宋体" w:cs="宋体"/>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2.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E1CEE1-30EF-4FF8-845B-0C6841A0AA67}">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5320</Words>
  <Characters>5374</Characters>
  <Lines>447</Lines>
  <Paragraphs>381</Paragraphs>
  <TotalTime>1</TotalTime>
  <ScaleCrop>false</ScaleCrop>
  <LinksUpToDate>false</LinksUpToDate>
  <CharactersWithSpaces>10313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2021-01-07T08:08:00Z</dcterms:created>
  <dc:creator>dreamsummit</dc:creator>
  <cp:lastModifiedBy>佐伊</cp:lastModifiedBy>
  <cp:lastPrinted>2021-01-05T03:05:00Z</cp:lastPrinted>
  <dcterms:modified xsi:type="dcterms:W3CDTF">2021-01-14T07:02:56Z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1155331935_embed</vt:lpwstr>
  </property>
</Properties>
</file>