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left"/>
        <w:rPr>
          <w:rFonts w:ascii="方正黑体简体" w:hAnsi="方正黑体简体" w:eastAsia="方正黑体简体" w:cs="方正黑体简体"/>
          <w:color w:val="333333"/>
          <w:kern w:val="0"/>
          <w:sz w:val="32"/>
          <w:szCs w:val="32"/>
        </w:rPr>
      </w:pPr>
      <w:r>
        <w:rPr>
          <w:rFonts w:hint="eastAsia" w:ascii="方正黑体简体" w:hAnsi="方正黑体简体" w:eastAsia="方正黑体简体" w:cs="方正黑体简体"/>
          <w:color w:val="333333"/>
          <w:kern w:val="0"/>
          <w:sz w:val="32"/>
          <w:szCs w:val="32"/>
        </w:rPr>
        <w:t>附件2</w:t>
      </w:r>
    </w:p>
    <w:p>
      <w:pPr>
        <w:widowControl/>
        <w:shd w:val="clear" w:color="auto" w:fill="FFFFFF"/>
        <w:jc w:val="center"/>
        <w:rPr>
          <w:rFonts w:ascii="宋体" w:hAnsi="宋体" w:eastAsia="宋体" w:cs="宋体"/>
          <w:color w:val="333333"/>
          <w:kern w:val="0"/>
          <w:sz w:val="16"/>
          <w:szCs w:val="16"/>
        </w:rPr>
      </w:pPr>
      <w:r>
        <w:rPr>
          <w:rFonts w:hint="eastAsia" w:ascii="宋体" w:hAnsi="宋体" w:eastAsia="宋体" w:cs="宋体"/>
          <w:color w:val="333333"/>
          <w:kern w:val="0"/>
          <w:sz w:val="16"/>
          <w:szCs w:val="16"/>
        </w:rPr>
        <w:br w:type="textWrapping"/>
      </w:r>
      <w:bookmarkStart w:id="0" w:name="_GoBack"/>
      <w:r>
        <w:rPr>
          <w:rFonts w:hint="eastAsia" w:ascii="方正小标宋简体" w:hAnsi="方正小标宋简体" w:eastAsia="方正小标宋简体" w:cs="方正小标宋简体"/>
          <w:b/>
          <w:bCs/>
          <w:color w:val="333333"/>
          <w:spacing w:val="-6"/>
          <w:kern w:val="0"/>
          <w:sz w:val="44"/>
          <w:szCs w:val="44"/>
        </w:rPr>
        <w:t>国务院决定下放审批层级的行政许可事项目录</w:t>
      </w:r>
      <w:bookmarkEnd w:id="0"/>
      <w:r>
        <w:rPr>
          <w:rFonts w:hint="eastAsia" w:ascii="方正小标宋简体" w:hAnsi="方正小标宋简体" w:eastAsia="方正小标宋简体" w:cs="方正小标宋简体"/>
          <w:color w:val="333333"/>
          <w:spacing w:val="-6"/>
          <w:kern w:val="0"/>
          <w:sz w:val="44"/>
          <w:szCs w:val="44"/>
        </w:rPr>
        <w:br w:type="textWrapping"/>
      </w:r>
      <w:r>
        <w:rPr>
          <w:rFonts w:hint="eastAsia" w:ascii="方正楷体简体" w:hAnsi="方正楷体简体" w:eastAsia="方正楷体简体" w:cs="方正楷体简体"/>
          <w:color w:val="333333"/>
          <w:kern w:val="0"/>
          <w:sz w:val="32"/>
          <w:szCs w:val="32"/>
        </w:rPr>
        <w:t>（共12项）</w:t>
      </w:r>
    </w:p>
    <w:tbl>
      <w:tblPr>
        <w:tblStyle w:val="5"/>
        <w:tblpPr w:leftFromText="180" w:rightFromText="180" w:vertAnchor="text" w:horzAnchor="page" w:tblpXSpec="center" w:tblpY="378"/>
        <w:tblOverlap w:val="never"/>
        <w:tblW w:w="135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6"/>
        <w:gridCol w:w="1439"/>
        <w:gridCol w:w="1275"/>
        <w:gridCol w:w="1418"/>
        <w:gridCol w:w="170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1439"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事项名称</w:t>
            </w:r>
          </w:p>
        </w:tc>
        <w:tc>
          <w:tcPr>
            <w:tcW w:w="1275"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部门</w:t>
            </w:r>
          </w:p>
        </w:tc>
        <w:tc>
          <w:tcPr>
            <w:tcW w:w="1418"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设定依据</w:t>
            </w:r>
          </w:p>
        </w:tc>
        <w:tc>
          <w:tcPr>
            <w:tcW w:w="1701"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下放后</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审批部门</w:t>
            </w:r>
          </w:p>
        </w:tc>
        <w:tc>
          <w:tcPr>
            <w:tcW w:w="694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29"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439"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出口国家重点保护的农业野生植物或进出口中国参加的国际公约限制进出口的农业野生植物审批</w:t>
            </w:r>
          </w:p>
        </w:tc>
        <w:tc>
          <w:tcPr>
            <w:tcW w:w="1275"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农业农村部</w:t>
            </w:r>
          </w:p>
        </w:tc>
        <w:tc>
          <w:tcPr>
            <w:tcW w:w="1418"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《中华人民共和国野生植物保护条例》</w:t>
            </w:r>
          </w:p>
        </w:tc>
        <w:tc>
          <w:tcPr>
            <w:tcW w:w="1701"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省级农业农村部门</w:t>
            </w:r>
          </w:p>
        </w:tc>
        <w:tc>
          <w:tcPr>
            <w:tcW w:w="6946"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下放后，取消省级农业农村部门负责实施的初审。农业农村部门要通过以下措施加强监管：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1.省级农业农村部门严格实施许可，加强对出口国家重点保护的农业野生植物和进出口我国参加的国际公约限制进出口的农业野生植物的监管。农业农村部要加强对省级农业农村部门有关工作的指导和监督。</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2.加强跨部门、跨层级的信息共享，省级农业农村部门要及时将许可信息推送至农业农村部、国家林草局（国家濒危物种进出口管理机构）、海关等部门。</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3.通过“双随机、一公开”监管、信用监管等方式加大执法监督力度，发现违法违规行为要依法查处并向社会公开结果。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1439"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事项名称</w:t>
            </w:r>
          </w:p>
        </w:tc>
        <w:tc>
          <w:tcPr>
            <w:tcW w:w="1275"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部门</w:t>
            </w:r>
          </w:p>
        </w:tc>
        <w:tc>
          <w:tcPr>
            <w:tcW w:w="1418"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设定依据</w:t>
            </w:r>
          </w:p>
        </w:tc>
        <w:tc>
          <w:tcPr>
            <w:tcW w:w="1701"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下放后</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审批部门</w:t>
            </w:r>
          </w:p>
        </w:tc>
        <w:tc>
          <w:tcPr>
            <w:tcW w:w="694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91"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1439"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成品油零售经营资格审批</w:t>
            </w:r>
          </w:p>
        </w:tc>
        <w:tc>
          <w:tcPr>
            <w:tcW w:w="1275"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省级商务部门</w:t>
            </w:r>
          </w:p>
        </w:tc>
        <w:tc>
          <w:tcPr>
            <w:tcW w:w="1418"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《国务院对确需保留的行政审批项目设定行政许可的决定》</w:t>
            </w:r>
          </w:p>
        </w:tc>
        <w:tc>
          <w:tcPr>
            <w:tcW w:w="1701"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设区的市级人民政府指定部门</w:t>
            </w:r>
          </w:p>
        </w:tc>
        <w:tc>
          <w:tcPr>
            <w:tcW w:w="6946" w:type="dxa"/>
            <w:tcMar>
              <w:top w:w="0" w:type="dxa"/>
              <w:left w:w="108" w:type="dxa"/>
              <w:bottom w:w="0" w:type="dxa"/>
              <w:right w:w="108" w:type="dxa"/>
            </w:tcMar>
            <w:vAlign w:val="center"/>
          </w:tcPr>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下放后，设区的市级人民政府指定部门（以下简称指定部门）要会同有关部门通过以下措施加强监管：</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1.指定部门严格落实成品油流通行业监管职责。要求成品油零售企业建立购销台账制度，完善油品来源、检验报告、检查记录等凭证材料档案。指定部门开展“双随机、一公开”监管，重点检查企业台账制度建立执行情况，发现违法违规行为依法处理或者提请有关部门予以查处。结合企业诚信经营和风险状况依法实施差异化监管。支持行业协会发挥行业自律作用。</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2.地方政府严格落实属地监管职责。设区的市级人民政府要建立跨部门联合监管机制，按照综合行政执法改革精神，统筹配置行政处罚职能和执法资源，加强协同监管。建立投诉举报制度，定期组织开展对成品油零售企业的专项检查，发现违法违规行为由各有关部门按职责依法依规查处。建立企业信用记录并纳入全国信用信息共享平台，对违法失信企业依法实施失信惩戒。</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3.相关部门严格落实专项监管职责。从事成品油零售经营活动的企业必须符合自然资源、规划、建设、质量计量、环保、安全生产、消防、治安反恐、商务、税务、交通运输、气象等方面法律法规和标准要求，依法依规开展经营。公安、自然资源、生态环境、住房城乡建设、交通运输、商务、应急管理、税务、市场监管、能源等部门按职责依法依规加强监管，承担安全生产监管责任的部门切实履行监管责任、守牢安全底线。</w:t>
            </w:r>
          </w:p>
          <w:p>
            <w:pPr>
              <w:widowControl/>
              <w:spacing w:line="290" w:lineRule="exact"/>
              <w:rPr>
                <w:rFonts w:ascii="仿宋" w:hAnsi="仿宋" w:eastAsia="仿宋" w:cs="仿宋"/>
                <w:kern w:val="0"/>
                <w:sz w:val="24"/>
                <w:szCs w:val="24"/>
              </w:rPr>
            </w:pPr>
            <w:r>
              <w:rPr>
                <w:rFonts w:hint="eastAsia" w:ascii="仿宋" w:hAnsi="仿宋" w:eastAsia="仿宋" w:cs="仿宋"/>
                <w:kern w:val="0"/>
                <w:sz w:val="24"/>
                <w:szCs w:val="24"/>
              </w:rPr>
              <w:t>4.</w:t>
            </w:r>
            <w:r>
              <w:rPr>
                <w:rFonts w:hint="eastAsia" w:ascii="仿宋" w:hAnsi="仿宋" w:eastAsia="仿宋" w:cs="仿宋"/>
                <w:spacing w:val="-6"/>
                <w:kern w:val="0"/>
                <w:sz w:val="24"/>
                <w:szCs w:val="24"/>
              </w:rPr>
              <w:t>加强成品油零售行业监管信息共享运用。市场监管部门要及时将新登记经营范围涉及成品油零售的企业信息推送至有关主管部门。商务部门要将改革前已取得相应许可的成品油零售企业信息推送至有关主管部门。指定部门要将行业监管中发现的超经营范围经营企业信息或者无照经营信息及时推送至有关主管部门。各有关主管部门要充分运用共享的监管信息，有针对性地加强监管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1439"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事项名称</w:t>
            </w:r>
          </w:p>
        </w:tc>
        <w:tc>
          <w:tcPr>
            <w:tcW w:w="1275"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部门</w:t>
            </w:r>
          </w:p>
        </w:tc>
        <w:tc>
          <w:tcPr>
            <w:tcW w:w="1418"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设定依据</w:t>
            </w:r>
          </w:p>
        </w:tc>
        <w:tc>
          <w:tcPr>
            <w:tcW w:w="1701"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下放后</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审批部门</w:t>
            </w:r>
          </w:p>
        </w:tc>
        <w:tc>
          <w:tcPr>
            <w:tcW w:w="694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6" w:hRule="atLeast"/>
          <w:jc w:val="center"/>
        </w:trPr>
        <w:tc>
          <w:tcPr>
            <w:tcW w:w="796"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1439"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建筑用钢筋产品生产许可证审批</w:t>
            </w:r>
          </w:p>
        </w:tc>
        <w:tc>
          <w:tcPr>
            <w:tcW w:w="1275"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国家市场监管总局</w:t>
            </w:r>
          </w:p>
        </w:tc>
        <w:tc>
          <w:tcPr>
            <w:tcW w:w="1418"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《中华人民共和国工业产品生产许可证管理条例》</w:t>
            </w:r>
          </w:p>
        </w:tc>
        <w:tc>
          <w:tcPr>
            <w:tcW w:w="1701"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省级市场监管部门</w:t>
            </w:r>
          </w:p>
        </w:tc>
        <w:tc>
          <w:tcPr>
            <w:tcW w:w="6946"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下放后，省级市场监管部门采取以下措施加强事中事后监管：</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1.继续简化审批程序，进一步压缩审批时限，全面实施网上办理。</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2.加强监督检查，督促获证企业持续保持生产合格产品的能力。</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3.结合本地区实际，有针对性地开展产品质量安全风险监测。</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4.加大产品质量监督抽查力度。</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5.强化高风险产品质量安全专项整治。</w:t>
            </w:r>
          </w:p>
          <w:p>
            <w:pPr>
              <w:spacing w:line="300" w:lineRule="exact"/>
              <w:jc w:val="left"/>
              <w:rPr>
                <w:rFonts w:ascii="仿宋" w:hAnsi="仿宋" w:eastAsia="仿宋" w:cs="仿宋"/>
                <w:sz w:val="24"/>
                <w:szCs w:val="24"/>
              </w:rPr>
            </w:pPr>
            <w:r>
              <w:rPr>
                <w:rFonts w:hint="eastAsia" w:ascii="仿宋" w:hAnsi="仿宋" w:eastAsia="仿宋" w:cs="仿宋"/>
                <w:kern w:val="0"/>
                <w:sz w:val="24"/>
                <w:szCs w:val="24"/>
              </w:rPr>
              <w:t>6.推进实施智慧监管和分类监管。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4" w:hRule="atLeast"/>
          <w:jc w:val="center"/>
        </w:trPr>
        <w:tc>
          <w:tcPr>
            <w:tcW w:w="796"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1439"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水泥产品生产许可证审批</w:t>
            </w:r>
          </w:p>
        </w:tc>
        <w:tc>
          <w:tcPr>
            <w:tcW w:w="1275"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国家市场监管总局</w:t>
            </w:r>
          </w:p>
        </w:tc>
        <w:tc>
          <w:tcPr>
            <w:tcW w:w="1418"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《中华人民共和国工业产品生产许可证管理条例》</w:t>
            </w:r>
          </w:p>
        </w:tc>
        <w:tc>
          <w:tcPr>
            <w:tcW w:w="1701"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省级市场监管部门</w:t>
            </w:r>
          </w:p>
        </w:tc>
        <w:tc>
          <w:tcPr>
            <w:tcW w:w="6946"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下放后，省级市场监管部门采取以下措施加强事中事后监管：</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1.继续简化审批程序，进一步压缩审批时限，全面实施网上办理。</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2.加强监督检查，督促获证企业持续保持生产合格产品的能力。</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3.结合本地区实际，有针对性地开展产品质量安全风险监测。</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4.加大产品质量监督抽查力度。</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5.强化高风险产品质量安全专项整治。</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6.推进实施智慧监管和分类监管。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9" w:hRule="atLeast"/>
          <w:jc w:val="center"/>
        </w:trPr>
        <w:tc>
          <w:tcPr>
            <w:tcW w:w="796"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1439"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广播电视传输设备产品生产许可证审批</w:t>
            </w:r>
          </w:p>
        </w:tc>
        <w:tc>
          <w:tcPr>
            <w:tcW w:w="1275"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国家市场监管总局</w:t>
            </w:r>
          </w:p>
        </w:tc>
        <w:tc>
          <w:tcPr>
            <w:tcW w:w="1418"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《中华人民共和国工业产品生产许可证管理条例》</w:t>
            </w:r>
          </w:p>
        </w:tc>
        <w:tc>
          <w:tcPr>
            <w:tcW w:w="1701"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省级市场监管部门</w:t>
            </w:r>
          </w:p>
        </w:tc>
        <w:tc>
          <w:tcPr>
            <w:tcW w:w="6946"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下放后，省级市场监管部门采取以下措施加强事中事后监管：</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1.继续简化审批程序，进一步压缩审批时限，全面实施网上办理。</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2.加强监督检查，督促获证企业持续保持生产合格产品的能力。</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3.结合本地区实际，有针对性地开展产品质量安全风险监测。</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4.加大产品质量监督抽查力度。</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5.强化高风险产品质量安全专项整治。</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6.推进实施智慧监管和分类监管。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1439"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事项名称</w:t>
            </w:r>
          </w:p>
        </w:tc>
        <w:tc>
          <w:tcPr>
            <w:tcW w:w="1275"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部门</w:t>
            </w:r>
          </w:p>
        </w:tc>
        <w:tc>
          <w:tcPr>
            <w:tcW w:w="1418"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设定依据</w:t>
            </w:r>
          </w:p>
        </w:tc>
        <w:tc>
          <w:tcPr>
            <w:tcW w:w="1701"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下放后</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审批部门</w:t>
            </w:r>
          </w:p>
        </w:tc>
        <w:tc>
          <w:tcPr>
            <w:tcW w:w="694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0" w:hRule="atLeast"/>
          <w:jc w:val="center"/>
        </w:trPr>
        <w:tc>
          <w:tcPr>
            <w:tcW w:w="796"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1439"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人民币鉴别仪产品生产许可证审批</w:t>
            </w:r>
          </w:p>
        </w:tc>
        <w:tc>
          <w:tcPr>
            <w:tcW w:w="1275"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国家市场监管总局</w:t>
            </w:r>
          </w:p>
        </w:tc>
        <w:tc>
          <w:tcPr>
            <w:tcW w:w="1418"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《中华人民共和国工业产品生产许可证管理条例》</w:t>
            </w:r>
          </w:p>
        </w:tc>
        <w:tc>
          <w:tcPr>
            <w:tcW w:w="1701"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省级市场监管部门</w:t>
            </w:r>
          </w:p>
        </w:tc>
        <w:tc>
          <w:tcPr>
            <w:tcW w:w="6946"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下放后，省级市场监管部门采取以下措施加强事中事后监管：</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1.继续简化审批程序，进一步压缩审批时限，全面实施网上办理。</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2.加强监督检查，督促获证企业持续保持生产合格产品的能力。</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3.结合本地区实际，有针对性地开展产品质量安全风险监测。</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4.加大产品质量监督抽查力度。</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5.强化高风险产品质量安全专项整治。</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6.推进实施智慧监管和分类监管。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6" w:hRule="atLeast"/>
          <w:jc w:val="center"/>
        </w:trPr>
        <w:tc>
          <w:tcPr>
            <w:tcW w:w="796" w:type="dxa"/>
            <w:tcMar>
              <w:top w:w="0" w:type="dxa"/>
              <w:left w:w="108" w:type="dxa"/>
              <w:bottom w:w="0" w:type="dxa"/>
              <w:right w:w="108" w:type="dxa"/>
            </w:tcMar>
            <w:vAlign w:val="center"/>
          </w:tcPr>
          <w:p>
            <w:pPr>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1439"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预应力混凝土铁路桥简支梁产品生产许可证审批</w:t>
            </w:r>
          </w:p>
        </w:tc>
        <w:tc>
          <w:tcPr>
            <w:tcW w:w="1275"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国家市场监管总局</w:t>
            </w:r>
          </w:p>
        </w:tc>
        <w:tc>
          <w:tcPr>
            <w:tcW w:w="1418"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《中华人民共和国工业产品生产许可证管理条例》</w:t>
            </w:r>
          </w:p>
        </w:tc>
        <w:tc>
          <w:tcPr>
            <w:tcW w:w="1701"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省级市场监管部门</w:t>
            </w:r>
          </w:p>
        </w:tc>
        <w:tc>
          <w:tcPr>
            <w:tcW w:w="6946" w:type="dxa"/>
            <w:tcMar>
              <w:top w:w="0" w:type="dxa"/>
              <w:left w:w="108" w:type="dxa"/>
              <w:bottom w:w="0" w:type="dxa"/>
              <w:right w:w="108" w:type="dxa"/>
            </w:tcMar>
            <w:vAlign w:val="center"/>
          </w:tcPr>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下放后，省级市场监管部门采取以下措施加强事中事后监管：</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1.继续简化审批程序，进一步压缩审批时限，全面实施网上办理。</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2.加强监督检查，督促获证企业持续保持生产合格产品的能力。</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3.结合本地区实际，有针对性地开展产品质量安全风险监测。</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4.加大产品质量监督抽查力度。</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5.强化高风险产品质量安全专项整治。</w:t>
            </w:r>
          </w:p>
          <w:p>
            <w:pPr>
              <w:spacing w:line="300" w:lineRule="exact"/>
              <w:jc w:val="left"/>
              <w:rPr>
                <w:rFonts w:ascii="仿宋" w:hAnsi="仿宋" w:eastAsia="仿宋" w:cs="仿宋"/>
                <w:kern w:val="0"/>
                <w:sz w:val="24"/>
                <w:szCs w:val="24"/>
              </w:rPr>
            </w:pPr>
            <w:r>
              <w:rPr>
                <w:rFonts w:hint="eastAsia" w:ascii="仿宋" w:hAnsi="仿宋" w:eastAsia="仿宋" w:cs="仿宋"/>
                <w:kern w:val="0"/>
                <w:sz w:val="24"/>
                <w:szCs w:val="24"/>
              </w:rPr>
              <w:t>6.推进实施智慧监管和分类监管。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0"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1439"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县级广播电台、电视台变更台名、节目设置范围或节目套数审批</w:t>
            </w:r>
          </w:p>
        </w:tc>
        <w:tc>
          <w:tcPr>
            <w:tcW w:w="1275"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广电总局</w:t>
            </w:r>
          </w:p>
        </w:tc>
        <w:tc>
          <w:tcPr>
            <w:tcW w:w="1418"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《广播电视管理条例》</w:t>
            </w:r>
          </w:p>
        </w:tc>
        <w:tc>
          <w:tcPr>
            <w:tcW w:w="1701"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省级广电部门</w:t>
            </w:r>
          </w:p>
        </w:tc>
        <w:tc>
          <w:tcPr>
            <w:tcW w:w="6946"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下放后，广电部门要通过以下措施加强监管：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1.省级广电部门在规定时限内将审批情况推送至广电总局，并向社会公示辖区内县级广播电台、电视台频道开办情况。广电总局要加强对省级广电部门的工作指导和监督。</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2.完善技术监管措施，对广播电台、电视台节目播出情况进行实时监管，制定应急预案并及时处理突发事件。</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w:t>
            </w:r>
            <w:r>
              <w:rPr>
                <w:rFonts w:hint="eastAsia" w:ascii="仿宋" w:hAnsi="仿宋" w:eastAsia="仿宋" w:cs="仿宋"/>
                <w:spacing w:val="-6"/>
                <w:kern w:val="0"/>
                <w:sz w:val="24"/>
                <w:szCs w:val="24"/>
              </w:rPr>
              <w:t>通过“双随机、一公开”监管、信用监管等方式，加大执法监督力度，发现违法违规行为要依法查处并向社会公开结果。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1439"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事项名称</w:t>
            </w:r>
          </w:p>
        </w:tc>
        <w:tc>
          <w:tcPr>
            <w:tcW w:w="1275"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部门</w:t>
            </w:r>
          </w:p>
        </w:tc>
        <w:tc>
          <w:tcPr>
            <w:tcW w:w="1418"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设定依据</w:t>
            </w:r>
          </w:p>
        </w:tc>
        <w:tc>
          <w:tcPr>
            <w:tcW w:w="1701"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下放后</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审批部门</w:t>
            </w:r>
          </w:p>
        </w:tc>
        <w:tc>
          <w:tcPr>
            <w:tcW w:w="694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1"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1439"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设区的市、县级地方新闻单位的信息网络传播视听节目许可证核发</w:t>
            </w:r>
          </w:p>
        </w:tc>
        <w:tc>
          <w:tcPr>
            <w:tcW w:w="1275"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广电总局</w:t>
            </w:r>
          </w:p>
        </w:tc>
        <w:tc>
          <w:tcPr>
            <w:tcW w:w="1418"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《国务院对确需保留的行政审批项目设定行政许可的决定》</w:t>
            </w:r>
          </w:p>
        </w:tc>
        <w:tc>
          <w:tcPr>
            <w:tcW w:w="1701"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省级广电部门</w:t>
            </w:r>
          </w:p>
        </w:tc>
        <w:tc>
          <w:tcPr>
            <w:tcW w:w="6946"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下放后，广电部门要通过以下措施加强监管：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1.建立健全审批情况信息共享、节目报备和重大事项报告等制度，将设区的市、县级地方新闻单位播出的网络视听节目纳入网络视听节目管理系统。</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2.指导督促新闻单位建立健全总编辑负责、节目播前审查、重要节目播出管理等制度。将有关节目纳入各级广播电视和网络视听监测监管平台，加强内容监管。发现违反规定造成重大事故的要严肃处理。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25"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1439"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安全生产检测检验机构、安全评价机构甲级资质认可，煤矿安全生产检测检验机构、安全评价机构乙级资质认可</w:t>
            </w:r>
          </w:p>
        </w:tc>
        <w:tc>
          <w:tcPr>
            <w:tcW w:w="1275"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应急管理部，省级煤矿安全监察局</w:t>
            </w:r>
          </w:p>
        </w:tc>
        <w:tc>
          <w:tcPr>
            <w:tcW w:w="1418"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《中华人民共和国安全生产法》</w:t>
            </w:r>
          </w:p>
        </w:tc>
        <w:tc>
          <w:tcPr>
            <w:tcW w:w="1701"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省级应急管理部门、省级煤矿安全生产监管部门</w:t>
            </w:r>
          </w:p>
        </w:tc>
        <w:tc>
          <w:tcPr>
            <w:tcW w:w="6946"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下放后，合并甲级、乙级资质，只保留基础资质。应急管理部和省级应急管理部门、省级煤矿安全生产监管部门要通过以下措施加强事中事后监管：</w:t>
            </w:r>
          </w:p>
          <w:p>
            <w:pPr>
              <w:widowControl/>
              <w:spacing w:line="300" w:lineRule="exact"/>
              <w:rPr>
                <w:rFonts w:ascii="仿宋" w:hAnsi="仿宋" w:eastAsia="仿宋" w:cs="仿宋"/>
                <w:kern w:val="0"/>
                <w:sz w:val="24"/>
                <w:szCs w:val="24"/>
              </w:rPr>
            </w:pPr>
            <w:r>
              <w:rPr>
                <w:rFonts w:ascii="仿宋" w:hAnsi="仿宋" w:eastAsia="仿宋" w:cs="仿宋"/>
                <w:kern w:val="0"/>
                <w:sz w:val="24"/>
                <w:szCs w:val="24"/>
              </w:rPr>
              <w:t>1.</w:t>
            </w:r>
            <w:r>
              <w:rPr>
                <w:rFonts w:hint="eastAsia" w:ascii="仿宋" w:hAnsi="仿宋" w:eastAsia="仿宋" w:cs="仿宋"/>
                <w:kern w:val="0"/>
                <w:sz w:val="24"/>
                <w:szCs w:val="24"/>
              </w:rPr>
              <w:t>健全安全生产检测检验机构、安全评价机构审批工作制度，制定全国统一的机构资质认定标准和执法标准，明确监管管辖权，规范自由裁量权。</w:t>
            </w:r>
          </w:p>
          <w:p>
            <w:pPr>
              <w:widowControl/>
              <w:spacing w:line="300" w:lineRule="exact"/>
              <w:rPr>
                <w:rFonts w:ascii="仿宋" w:hAnsi="仿宋" w:eastAsia="仿宋" w:cs="仿宋"/>
                <w:kern w:val="0"/>
                <w:sz w:val="24"/>
                <w:szCs w:val="24"/>
              </w:rPr>
            </w:pPr>
            <w:r>
              <w:rPr>
                <w:rFonts w:ascii="仿宋" w:hAnsi="仿宋" w:eastAsia="仿宋" w:cs="仿宋"/>
                <w:kern w:val="0"/>
                <w:sz w:val="24"/>
                <w:szCs w:val="24"/>
              </w:rPr>
              <w:t>2.</w:t>
            </w:r>
            <w:r>
              <w:rPr>
                <w:rFonts w:hint="eastAsia" w:ascii="仿宋" w:hAnsi="仿宋" w:eastAsia="仿宋" w:cs="仿宋"/>
                <w:kern w:val="0"/>
                <w:sz w:val="24"/>
                <w:szCs w:val="24"/>
              </w:rPr>
              <w:t>加强对审批工作的培训、指导、督查工作，及时纠正有关问题。</w:t>
            </w:r>
          </w:p>
          <w:p>
            <w:pPr>
              <w:widowControl/>
              <w:spacing w:line="300" w:lineRule="exact"/>
              <w:rPr>
                <w:rFonts w:ascii="仿宋" w:hAnsi="仿宋" w:eastAsia="仿宋" w:cs="仿宋"/>
                <w:kern w:val="0"/>
                <w:sz w:val="24"/>
                <w:szCs w:val="24"/>
              </w:rPr>
            </w:pPr>
            <w:r>
              <w:rPr>
                <w:rFonts w:ascii="仿宋" w:hAnsi="仿宋" w:eastAsia="仿宋" w:cs="仿宋"/>
                <w:kern w:val="0"/>
                <w:sz w:val="24"/>
                <w:szCs w:val="24"/>
              </w:rPr>
              <w:t>3.</w:t>
            </w:r>
            <w:r>
              <w:rPr>
                <w:rFonts w:hint="eastAsia" w:ascii="仿宋" w:hAnsi="仿宋" w:eastAsia="仿宋" w:cs="仿宋"/>
                <w:kern w:val="0"/>
                <w:sz w:val="24"/>
                <w:szCs w:val="24"/>
              </w:rPr>
              <w:t>通过“双随机、一公开”监管、信用监管等方式，加强执法监督，对失信企业实行联合惩戒。</w:t>
            </w:r>
          </w:p>
          <w:p>
            <w:pPr>
              <w:widowControl/>
              <w:spacing w:line="300" w:lineRule="exact"/>
              <w:rPr>
                <w:rFonts w:ascii="仿宋" w:hAnsi="仿宋" w:eastAsia="仿宋" w:cs="仿宋"/>
                <w:kern w:val="0"/>
                <w:sz w:val="24"/>
                <w:szCs w:val="24"/>
              </w:rPr>
            </w:pPr>
            <w:r>
              <w:rPr>
                <w:rFonts w:ascii="仿宋" w:hAnsi="仿宋" w:eastAsia="仿宋" w:cs="仿宋"/>
                <w:kern w:val="0"/>
                <w:sz w:val="24"/>
                <w:szCs w:val="24"/>
              </w:rPr>
              <w:t>4.</w:t>
            </w:r>
            <w:r>
              <w:rPr>
                <w:rFonts w:hint="eastAsia" w:ascii="仿宋" w:hAnsi="仿宋" w:eastAsia="仿宋" w:cs="仿宋"/>
                <w:kern w:val="0"/>
                <w:sz w:val="24"/>
                <w:szCs w:val="24"/>
              </w:rPr>
              <w:t>加强对安全生产检测检验机构、安全评价机构有关信息的共享和公开，接受社会监督。</w:t>
            </w:r>
          </w:p>
          <w:p>
            <w:pPr>
              <w:widowControl/>
              <w:spacing w:line="300" w:lineRule="exact"/>
              <w:rPr>
                <w:rFonts w:ascii="仿宋" w:hAnsi="仿宋" w:eastAsia="仿宋" w:cs="仿宋"/>
                <w:kern w:val="0"/>
                <w:sz w:val="24"/>
                <w:szCs w:val="24"/>
              </w:rPr>
            </w:pPr>
            <w:r>
              <w:rPr>
                <w:rFonts w:ascii="仿宋" w:hAnsi="仿宋" w:eastAsia="仿宋" w:cs="仿宋"/>
                <w:kern w:val="0"/>
                <w:sz w:val="24"/>
                <w:szCs w:val="24"/>
              </w:rPr>
              <w:t>5.</w:t>
            </w:r>
            <w:r>
              <w:rPr>
                <w:rFonts w:hint="eastAsia" w:ascii="仿宋" w:hAnsi="仿宋" w:eastAsia="仿宋" w:cs="仿宋"/>
                <w:kern w:val="0"/>
                <w:sz w:val="24"/>
                <w:szCs w:val="24"/>
              </w:rPr>
              <w:t>支持行业组织发挥自律作用，完善技术仲裁工作机制。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1439"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事项名称</w:t>
            </w:r>
          </w:p>
        </w:tc>
        <w:tc>
          <w:tcPr>
            <w:tcW w:w="1275"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部门</w:t>
            </w:r>
          </w:p>
        </w:tc>
        <w:tc>
          <w:tcPr>
            <w:tcW w:w="1418"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设定依据</w:t>
            </w:r>
          </w:p>
        </w:tc>
        <w:tc>
          <w:tcPr>
            <w:tcW w:w="1701"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下放后</w:t>
            </w:r>
          </w:p>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审批部门</w:t>
            </w:r>
          </w:p>
        </w:tc>
        <w:tc>
          <w:tcPr>
            <w:tcW w:w="6946" w:type="dxa"/>
            <w:tcMar>
              <w:top w:w="0" w:type="dxa"/>
              <w:left w:w="108" w:type="dxa"/>
              <w:bottom w:w="0" w:type="dxa"/>
              <w:right w:w="108" w:type="dxa"/>
            </w:tcMar>
            <w:vAlign w:val="center"/>
          </w:tcPr>
          <w:p>
            <w:pPr>
              <w:widowControl/>
              <w:spacing w:line="30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加强事中事后监管措施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2" w:hRule="atLeast"/>
          <w:jc w:val="center"/>
        </w:trPr>
        <w:tc>
          <w:tcPr>
            <w:tcW w:w="796" w:type="dxa"/>
            <w:tcMar>
              <w:top w:w="0" w:type="dxa"/>
              <w:left w:w="108" w:type="dxa"/>
              <w:bottom w:w="0" w:type="dxa"/>
              <w:right w:w="108" w:type="dxa"/>
            </w:tcMar>
            <w:vAlign w:val="center"/>
          </w:tcPr>
          <w:p>
            <w:pPr>
              <w:widowControl/>
              <w:spacing w:line="300" w:lineRule="exact"/>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1439"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省（区）际、市际、毗邻县行政区域间道路旅客运输经营许可</w:t>
            </w:r>
          </w:p>
        </w:tc>
        <w:tc>
          <w:tcPr>
            <w:tcW w:w="1275"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省、市级交通运输部门</w:t>
            </w:r>
          </w:p>
        </w:tc>
        <w:tc>
          <w:tcPr>
            <w:tcW w:w="1418"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《中华人民共和国道路运输条例》</w:t>
            </w:r>
          </w:p>
        </w:tc>
        <w:tc>
          <w:tcPr>
            <w:tcW w:w="1701"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市、县级交通运输部门</w:t>
            </w:r>
          </w:p>
        </w:tc>
        <w:tc>
          <w:tcPr>
            <w:tcW w:w="6946"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下放审批后，交通运输主管部门及其道路运输管理机构通过以下措施加强事中事后监管：</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1.加强许可信息共享。严格落实《道路运输车辆动态监督管理办法》，依据法定职责，与公安机关交通安全管理部门及其他有关部门共同对道路客运车辆动态监控工作实施监督管理。</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2.推进落实好部门监管责任、属地管理责任，确保“隐患清零”措施到位。</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3.加强“双随机、一公开”监管，依法查处违法违规经营行为；对严重违法经营或危及运输生产安全的车辆和从业人员，纳入重点管控范围，依法从重处罚，直至依法吊销其道路客运经营许可和从业资格证件。</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4.加强信用监管，对信用等级低的经营者加大监督检查和整改处理力度。</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5.完善运输服务质量投诉监督机制，及时处理服务质量投诉案件。加强对各级交通运输部门履职情况监督检查。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9" w:hRule="atLeast"/>
          <w:jc w:val="center"/>
        </w:trPr>
        <w:tc>
          <w:tcPr>
            <w:tcW w:w="796" w:type="dxa"/>
            <w:tcMar>
              <w:top w:w="0" w:type="dxa"/>
              <w:left w:w="108" w:type="dxa"/>
              <w:bottom w:w="0" w:type="dxa"/>
              <w:right w:w="108" w:type="dxa"/>
            </w:tcMar>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1439" w:type="dxa"/>
            <w:tcMar>
              <w:top w:w="0" w:type="dxa"/>
              <w:left w:w="108" w:type="dxa"/>
              <w:bottom w:w="0" w:type="dxa"/>
              <w:right w:w="108" w:type="dxa"/>
            </w:tcMar>
            <w:vAlign w:val="center"/>
          </w:tcPr>
          <w:p>
            <w:pPr>
              <w:rPr>
                <w:rFonts w:ascii="仿宋" w:hAnsi="仿宋" w:eastAsia="仿宋" w:cs="仿宋"/>
                <w:kern w:val="0"/>
                <w:sz w:val="24"/>
                <w:szCs w:val="24"/>
              </w:rPr>
            </w:pPr>
            <w:r>
              <w:rPr>
                <w:rFonts w:hint="eastAsia" w:ascii="仿宋" w:hAnsi="仿宋" w:eastAsia="仿宋" w:cs="仿宋"/>
                <w:kern w:val="0"/>
                <w:sz w:val="24"/>
                <w:szCs w:val="24"/>
              </w:rPr>
              <w:t>护士执业注册</w:t>
            </w:r>
          </w:p>
        </w:tc>
        <w:tc>
          <w:tcPr>
            <w:tcW w:w="1275" w:type="dxa"/>
            <w:tcMar>
              <w:top w:w="0" w:type="dxa"/>
              <w:left w:w="108" w:type="dxa"/>
              <w:bottom w:w="0" w:type="dxa"/>
              <w:right w:w="108" w:type="dxa"/>
            </w:tcMar>
            <w:vAlign w:val="center"/>
          </w:tcPr>
          <w:p>
            <w:pPr>
              <w:rPr>
                <w:rFonts w:ascii="仿宋" w:hAnsi="仿宋" w:eastAsia="仿宋" w:cs="仿宋"/>
                <w:kern w:val="0"/>
                <w:sz w:val="24"/>
                <w:szCs w:val="24"/>
              </w:rPr>
            </w:pPr>
            <w:r>
              <w:rPr>
                <w:rFonts w:hint="eastAsia" w:ascii="仿宋" w:hAnsi="仿宋" w:eastAsia="仿宋" w:cs="仿宋"/>
                <w:kern w:val="0"/>
                <w:sz w:val="24"/>
                <w:szCs w:val="24"/>
              </w:rPr>
              <w:t>省级卫生健康部门</w:t>
            </w:r>
          </w:p>
        </w:tc>
        <w:tc>
          <w:tcPr>
            <w:tcW w:w="1418" w:type="dxa"/>
            <w:tcMar>
              <w:top w:w="0" w:type="dxa"/>
              <w:left w:w="108" w:type="dxa"/>
              <w:bottom w:w="0" w:type="dxa"/>
              <w:right w:w="108" w:type="dxa"/>
            </w:tcMar>
            <w:vAlign w:val="center"/>
          </w:tcPr>
          <w:p>
            <w:pPr>
              <w:rPr>
                <w:rFonts w:ascii="仿宋" w:hAnsi="仿宋" w:eastAsia="仿宋" w:cs="仿宋"/>
                <w:kern w:val="0"/>
                <w:sz w:val="24"/>
                <w:szCs w:val="24"/>
              </w:rPr>
            </w:pPr>
            <w:r>
              <w:rPr>
                <w:rFonts w:hint="eastAsia" w:ascii="仿宋" w:hAnsi="仿宋" w:eastAsia="仿宋" w:cs="仿宋"/>
                <w:kern w:val="0"/>
                <w:sz w:val="24"/>
                <w:szCs w:val="24"/>
              </w:rPr>
              <w:t>《护士条例》</w:t>
            </w:r>
          </w:p>
        </w:tc>
        <w:tc>
          <w:tcPr>
            <w:tcW w:w="1701" w:type="dxa"/>
            <w:tcMar>
              <w:top w:w="0" w:type="dxa"/>
              <w:left w:w="108" w:type="dxa"/>
              <w:bottom w:w="0" w:type="dxa"/>
              <w:right w:w="108" w:type="dxa"/>
            </w:tcMar>
            <w:vAlign w:val="center"/>
          </w:tcPr>
          <w:p>
            <w:pPr>
              <w:rPr>
                <w:rFonts w:ascii="仿宋" w:hAnsi="仿宋" w:eastAsia="仿宋" w:cs="仿宋"/>
                <w:kern w:val="0"/>
                <w:sz w:val="24"/>
                <w:szCs w:val="24"/>
              </w:rPr>
            </w:pPr>
            <w:r>
              <w:rPr>
                <w:rFonts w:hint="eastAsia" w:ascii="仿宋" w:hAnsi="仿宋" w:eastAsia="仿宋" w:cs="仿宋"/>
                <w:kern w:val="0"/>
                <w:sz w:val="24"/>
                <w:szCs w:val="24"/>
              </w:rPr>
              <w:t>市、县级卫生健康部 门</w:t>
            </w:r>
          </w:p>
        </w:tc>
        <w:tc>
          <w:tcPr>
            <w:tcW w:w="6946" w:type="dxa"/>
            <w:tcMar>
              <w:top w:w="0" w:type="dxa"/>
              <w:left w:w="108" w:type="dxa"/>
              <w:bottom w:w="0" w:type="dxa"/>
              <w:right w:w="108" w:type="dxa"/>
            </w:tcMar>
            <w:vAlign w:val="center"/>
          </w:tcPr>
          <w:p>
            <w:pPr>
              <w:widowControl/>
              <w:spacing w:line="300" w:lineRule="exact"/>
              <w:rPr>
                <w:rFonts w:ascii="仿宋" w:hAnsi="仿宋" w:eastAsia="仿宋" w:cs="仿宋"/>
                <w:kern w:val="0"/>
                <w:sz w:val="24"/>
                <w:szCs w:val="24"/>
              </w:rPr>
            </w:pPr>
            <w:r>
              <w:rPr>
                <w:rFonts w:hint="eastAsia" w:ascii="仿宋" w:hAnsi="仿宋" w:eastAsia="仿宋" w:cs="仿宋"/>
                <w:spacing w:val="-6"/>
                <w:kern w:val="0"/>
                <w:sz w:val="24"/>
                <w:szCs w:val="24"/>
              </w:rPr>
              <w:t>下放审批后，各级卫生健康部门要通过以下措施加强事中事后监管</w:t>
            </w:r>
            <w:r>
              <w:rPr>
                <w:rFonts w:hint="eastAsia" w:ascii="仿宋" w:hAnsi="仿宋" w:eastAsia="仿宋" w:cs="仿宋"/>
                <w:kern w:val="0"/>
                <w:sz w:val="24"/>
                <w:szCs w:val="24"/>
              </w:rPr>
              <w:t xml:space="preserve">: </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 xml:space="preserve">1.按照国家卫生健康委关于下放护士执业注册审批层级的有关文件要求,结合本地护士执业注册审批现状, 做好审批层级调整，同时,进一步优化流程、精简材料,提升审批效率。 </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 xml:space="preserve">2.全面实施护士执业电子化注册,实现网上办理,并加强对辖区内护士执业注册工作的监督。 </w:t>
            </w:r>
          </w:p>
          <w:p>
            <w:pPr>
              <w:widowControl/>
              <w:spacing w:line="300" w:lineRule="exact"/>
              <w:rPr>
                <w:rFonts w:ascii="仿宋" w:hAnsi="仿宋" w:eastAsia="仿宋" w:cs="仿宋"/>
                <w:kern w:val="0"/>
                <w:sz w:val="24"/>
                <w:szCs w:val="24"/>
              </w:rPr>
            </w:pPr>
            <w:r>
              <w:rPr>
                <w:rFonts w:hint="eastAsia" w:ascii="仿宋" w:hAnsi="仿宋" w:eastAsia="仿宋" w:cs="仿宋"/>
                <w:kern w:val="0"/>
                <w:sz w:val="24"/>
                <w:szCs w:val="24"/>
              </w:rPr>
              <w:t>3.加强对执业护士的监督管理工作。</w:t>
            </w:r>
          </w:p>
        </w:tc>
      </w:tr>
    </w:tbl>
    <w:p>
      <w:pPr>
        <w:widowControl/>
        <w:shd w:val="clear" w:color="auto" w:fill="FFFFFF"/>
      </w:pPr>
    </w:p>
    <w:sectPr>
      <w:pgSz w:w="16838" w:h="11906" w:orient="landscape"/>
      <w:pgMar w:top="1531" w:right="1531" w:bottom="1587" w:left="1984"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9169AE-0658-4847-A773-644E4F8845CA}"/>
  </w:font>
  <w:font w:name="Arial">
    <w:panose1 w:val="020B0604020202020204"/>
    <w:charset w:val="01"/>
    <w:family w:val="swiss"/>
    <w:pitch w:val="default"/>
    <w:sig w:usb0="E0002AFF" w:usb1="C0007843" w:usb2="00000009" w:usb3="00000000" w:csb0="400001FF" w:csb1="FFFF0000"/>
    <w:embedRegular r:id="rId2" w:fontKey="{001E1C43-E14D-4FC8-BB6C-C201BC3ED7A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2206B1EA-A40D-416B-BF19-FBEC7D8798FD}"/>
  </w:font>
  <w:font w:name="Symbol">
    <w:panose1 w:val="05050102010706020507"/>
    <w:charset w:val="02"/>
    <w:family w:val="roman"/>
    <w:pitch w:val="default"/>
    <w:sig w:usb0="00000000" w:usb1="00000000" w:usb2="00000000" w:usb3="00000000" w:csb0="80000000" w:csb1="00000000"/>
    <w:embedRegular r:id="rId4" w:fontKey="{958CF216-2705-4B13-B75F-002367EA4CB5}"/>
  </w:font>
  <w:font w:name="Calibri">
    <w:panose1 w:val="020F0502020204030204"/>
    <w:charset w:val="00"/>
    <w:family w:val="swiss"/>
    <w:pitch w:val="default"/>
    <w:sig w:usb0="E00002FF" w:usb1="4000ACFF" w:usb2="00000001" w:usb3="00000000" w:csb0="2000019F" w:csb1="00000000"/>
    <w:embedRegular r:id="rId5" w:fontKey="{EF476D2B-2305-4A1D-B116-B6B18C983F2C}"/>
  </w:font>
  <w:font w:name="方正黑体简体">
    <w:altName w:val="Arial Unicode MS"/>
    <w:panose1 w:val="00000000000000000000"/>
    <w:charset w:val="86"/>
    <w:family w:val="auto"/>
    <w:pitch w:val="default"/>
    <w:sig w:usb0="00000000" w:usb1="00000000" w:usb2="00000000" w:usb3="00000000" w:csb0="00040000" w:csb1="00000000"/>
    <w:embedRegular r:id="rId6" w:fontKey="{B0AB257C-E209-4223-8333-EBF1AD9EF92D}"/>
  </w:font>
  <w:font w:name="方正小标宋简体">
    <w:panose1 w:val="03000509000000000000"/>
    <w:charset w:val="86"/>
    <w:family w:val="script"/>
    <w:pitch w:val="default"/>
    <w:sig w:usb0="00000001" w:usb1="080E0000" w:usb2="00000000" w:usb3="00000000" w:csb0="00040000" w:csb1="00000000"/>
    <w:embedRegular r:id="rId7" w:fontKey="{4AA78DFA-DAE9-4BC2-9645-A1FF063173A5}"/>
  </w:font>
  <w:font w:name="方正楷体简体">
    <w:panose1 w:val="02010601030101010101"/>
    <w:charset w:val="86"/>
    <w:family w:val="auto"/>
    <w:pitch w:val="default"/>
    <w:sig w:usb0="00000001" w:usb1="080E0000" w:usb2="00000000" w:usb3="00000000" w:csb0="00040000" w:csb1="00000000"/>
    <w:embedRegular r:id="rId8" w:fontKey="{92293EA1-310F-42C4-938B-FFFE0E95DE30}"/>
  </w:font>
  <w:font w:name="仿宋">
    <w:panose1 w:val="02010609060101010101"/>
    <w:charset w:val="86"/>
    <w:family w:val="modern"/>
    <w:pitch w:val="default"/>
    <w:sig w:usb0="800002BF" w:usb1="38CF7CFA" w:usb2="00000016" w:usb3="00000000" w:csb0="00040001" w:csb1="00000000"/>
    <w:embedRegular r:id="rId9" w:fontKey="{4F687365-AF58-40E6-9947-59728F958922}"/>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C5A"/>
    <w:rsid w:val="000305CC"/>
    <w:rsid w:val="001168A7"/>
    <w:rsid w:val="00175CFD"/>
    <w:rsid w:val="001C7121"/>
    <w:rsid w:val="001F0D5C"/>
    <w:rsid w:val="00210B14"/>
    <w:rsid w:val="002661F5"/>
    <w:rsid w:val="00297A59"/>
    <w:rsid w:val="002A1785"/>
    <w:rsid w:val="00366C45"/>
    <w:rsid w:val="003E20F7"/>
    <w:rsid w:val="003F196A"/>
    <w:rsid w:val="004132D9"/>
    <w:rsid w:val="004329E2"/>
    <w:rsid w:val="00446416"/>
    <w:rsid w:val="004920E7"/>
    <w:rsid w:val="004B68BA"/>
    <w:rsid w:val="004B6EAC"/>
    <w:rsid w:val="004C1670"/>
    <w:rsid w:val="00540EC4"/>
    <w:rsid w:val="00561EC0"/>
    <w:rsid w:val="0057741B"/>
    <w:rsid w:val="005D70DA"/>
    <w:rsid w:val="00697235"/>
    <w:rsid w:val="00702235"/>
    <w:rsid w:val="0071084A"/>
    <w:rsid w:val="00757393"/>
    <w:rsid w:val="007A28B5"/>
    <w:rsid w:val="007A7389"/>
    <w:rsid w:val="007E5845"/>
    <w:rsid w:val="008A2811"/>
    <w:rsid w:val="008B0BC9"/>
    <w:rsid w:val="008C4C5A"/>
    <w:rsid w:val="009348D7"/>
    <w:rsid w:val="00976BD9"/>
    <w:rsid w:val="00990B92"/>
    <w:rsid w:val="009E1E71"/>
    <w:rsid w:val="00A016D2"/>
    <w:rsid w:val="00A04567"/>
    <w:rsid w:val="00A048BD"/>
    <w:rsid w:val="00A24543"/>
    <w:rsid w:val="00A33EBD"/>
    <w:rsid w:val="00A572B8"/>
    <w:rsid w:val="00A60584"/>
    <w:rsid w:val="00A80F1F"/>
    <w:rsid w:val="00AB6CD8"/>
    <w:rsid w:val="00B13BEB"/>
    <w:rsid w:val="00B735F6"/>
    <w:rsid w:val="00B831A1"/>
    <w:rsid w:val="00BD116B"/>
    <w:rsid w:val="00C30788"/>
    <w:rsid w:val="00C315A8"/>
    <w:rsid w:val="00C81C4F"/>
    <w:rsid w:val="00CD6CC3"/>
    <w:rsid w:val="00CF489A"/>
    <w:rsid w:val="00D94E15"/>
    <w:rsid w:val="00DA2116"/>
    <w:rsid w:val="00DE1391"/>
    <w:rsid w:val="00E07846"/>
    <w:rsid w:val="00E71757"/>
    <w:rsid w:val="00EA50F1"/>
    <w:rsid w:val="00EC5253"/>
    <w:rsid w:val="00ED4BBC"/>
    <w:rsid w:val="00F5314F"/>
    <w:rsid w:val="00FB0EE0"/>
    <w:rsid w:val="00FC6035"/>
    <w:rsid w:val="00FE5109"/>
    <w:rsid w:val="01C2579D"/>
    <w:rsid w:val="144A77FB"/>
    <w:rsid w:val="4DEA2160"/>
    <w:rsid w:val="580942A8"/>
    <w:rsid w:val="5DB2795E"/>
    <w:rsid w:val="6BC74A7F"/>
    <w:rsid w:val="7C5117B9"/>
    <w:rsid w:val="7F1F3E8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semiHidden/>
    <w:unhideWhenUsed/>
    <w:qFormat/>
    <w:uiPriority w:val="99"/>
    <w:pPr>
      <w:tabs>
        <w:tab w:val="center" w:pos="4153"/>
        <w:tab w:val="right" w:pos="8306"/>
      </w:tabs>
      <w:snapToGrid w:val="0"/>
      <w:jc w:val="left"/>
    </w:pPr>
    <w:rPr>
      <w:sz w:val="18"/>
      <w:szCs w:val="18"/>
    </w:rPr>
  </w:style>
  <w:style w:type="paragraph" w:styleId="3">
    <w:name w:val="header"/>
    <w:basedOn w:val="1"/>
    <w:link w:val="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7">
    <w:name w:val="Emphasis"/>
    <w:basedOn w:val="6"/>
    <w:qFormat/>
    <w:uiPriority w:val="0"/>
    <w:rPr>
      <w:i/>
    </w:rPr>
  </w:style>
  <w:style w:type="character" w:customStyle="1" w:styleId="8">
    <w:name w:val="页眉 Char"/>
    <w:basedOn w:val="6"/>
    <w:link w:val="3"/>
    <w:semiHidden/>
    <w:qFormat/>
    <w:uiPriority w:val="99"/>
    <w:rPr>
      <w:sz w:val="18"/>
      <w:szCs w:val="18"/>
    </w:rPr>
  </w:style>
  <w:style w:type="character" w:customStyle="1" w:styleId="9">
    <w:name w:val="页脚 Char"/>
    <w:basedOn w:val="6"/>
    <w:link w:val="2"/>
    <w:semiHidden/>
    <w:qFormat/>
    <w:uiPriority w:val="99"/>
    <w:rPr>
      <w:sz w:val="18"/>
      <w:szCs w:val="18"/>
    </w:rPr>
  </w:style>
  <w:style w:type="paragraph" w:customStyle="1" w:styleId="10">
    <w:name w:val="Table Paragraph"/>
    <w:basedOn w:val="1"/>
    <w:qFormat/>
    <w:uiPriority w:val="1"/>
    <w:rPr>
      <w:rFonts w:ascii="宋体" w:hAnsi="宋体" w:eastAsia="宋体" w:cs="宋体"/>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E1CEE1-30EF-4FF8-845B-0C6841A0AA67}">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5320</Words>
  <Characters>5374</Characters>
  <Lines>447</Lines>
  <Paragraphs>381</Paragraphs>
  <TotalTime>0</TotalTime>
  <ScaleCrop>false</ScaleCrop>
  <LinksUpToDate>false</LinksUpToDate>
  <CharactersWithSpaces>10313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2021-01-07T08:08:00Z</dcterms:created>
  <dc:creator>dreamsummit</dc:creator>
  <cp:lastModifiedBy>佐伊</cp:lastModifiedBy>
  <cp:lastPrinted>2021-01-05T03:05:00Z</cp:lastPrinted>
  <dcterms:modified xsi:type="dcterms:W3CDTF">2021-01-14T07:03:51Z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1155331935_embed</vt:lpwstr>
  </property>
</Properties>
</file>