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黑体" w:eastAsia="方正小标宋_GBK"/>
          <w:bCs/>
          <w:sz w:val="44"/>
          <w:szCs w:val="44"/>
        </w:rPr>
      </w:pPr>
      <w:r>
        <w:rPr>
          <w:rFonts w:hint="eastAsia" w:ascii="方正小标宋_GBK" w:hAnsi="黑体" w:eastAsia="方正小标宋_GBK"/>
          <w:bCs/>
          <w:sz w:val="44"/>
          <w:szCs w:val="44"/>
        </w:rPr>
        <w:t>列席自治区十二届人大二次会议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_GBK" w:hAnsi="黑体" w:eastAsia="方正小标宋_GBK"/>
          <w:bCs/>
          <w:sz w:val="44"/>
          <w:szCs w:val="44"/>
        </w:rPr>
      </w:pPr>
      <w:r>
        <w:rPr>
          <w:rFonts w:hint="eastAsia" w:ascii="方正小标宋_GBK" w:hAnsi="黑体" w:eastAsia="方正小标宋_GBK"/>
          <w:bCs/>
          <w:sz w:val="44"/>
          <w:szCs w:val="44"/>
        </w:rPr>
        <w:t>全国人大代表建议交办表</w:t>
      </w:r>
    </w:p>
    <w:p>
      <w:pPr>
        <w:spacing w:line="540" w:lineRule="exact"/>
        <w:jc w:val="center"/>
        <w:rPr>
          <w:rFonts w:hint="eastAsia" w:ascii="方正小标宋_GBK" w:hAnsi="黑体" w:eastAsia="方正小标宋_GBK"/>
          <w:bCs/>
          <w:sz w:val="44"/>
          <w:szCs w:val="44"/>
        </w:rPr>
      </w:pPr>
    </w:p>
    <w:tbl>
      <w:tblPr>
        <w:tblStyle w:val="2"/>
        <w:tblW w:w="8523" w:type="dxa"/>
        <w:jc w:val="center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907"/>
        <w:gridCol w:w="1773"/>
        <w:gridCol w:w="2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序号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标  题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主办单位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仿宋" w:eastAsia="黑体"/>
                <w:sz w:val="32"/>
                <w:szCs w:val="32"/>
              </w:rPr>
            </w:pPr>
            <w:r>
              <w:rPr>
                <w:rFonts w:hint="eastAsia" w:ascii="黑体" w:hAnsi="仿宋" w:eastAsia="黑体"/>
                <w:sz w:val="32"/>
                <w:szCs w:val="32"/>
              </w:rPr>
              <w:t>协办单位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关于火力发电厂固废综合利用的建议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自治区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生态环境厅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自治区发展改革委、科技厅、工业和信息化厅、财政厅、住房城乡建设厅、交通运输厅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关于取消对高效环保煤电企业煤质要求的建议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自治区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生态环境厅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关于加快推进银川热电厂关停后续工作的建议</w:t>
            </w: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银川市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人民政府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关于乡村养殖、种植产业深加工的建议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自治区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农业农村厅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关于宁夏银川市第二十一小学校区扩容的建议</w:t>
            </w:r>
          </w:p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自治区教育厅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银川市人民政府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85149"/>
    <w:rsid w:val="0C7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2019-04-03T02:45:27Z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