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黑体" w:eastAsia="方正小标宋_GBK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附件6            </w:t>
      </w:r>
      <w:r>
        <w:rPr>
          <w:rFonts w:hint="eastAsia" w:ascii="方正小标宋_GBK" w:hAnsi="黑体" w:eastAsia="方正小标宋_GBK" w:cs="黑体"/>
          <w:sz w:val="44"/>
          <w:szCs w:val="44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《自治区水污染防治行动工作方案》量化目标任务分解表</w:t>
      </w:r>
    </w:p>
    <w:tbl>
      <w:tblPr>
        <w:tblStyle w:val="3"/>
        <w:tblW w:w="1314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897"/>
        <w:gridCol w:w="1067"/>
        <w:gridCol w:w="58"/>
        <w:gridCol w:w="504"/>
        <w:gridCol w:w="357"/>
        <w:gridCol w:w="175"/>
        <w:gridCol w:w="221"/>
        <w:gridCol w:w="327"/>
        <w:gridCol w:w="167"/>
        <w:gridCol w:w="541"/>
        <w:gridCol w:w="12"/>
        <w:gridCol w:w="167"/>
        <w:gridCol w:w="180"/>
        <w:gridCol w:w="545"/>
        <w:gridCol w:w="45"/>
        <w:gridCol w:w="265"/>
        <w:gridCol w:w="45"/>
        <w:gridCol w:w="545"/>
        <w:gridCol w:w="175"/>
        <w:gridCol w:w="105"/>
        <w:gridCol w:w="76"/>
        <w:gridCol w:w="724"/>
        <w:gridCol w:w="178"/>
        <w:gridCol w:w="132"/>
        <w:gridCol w:w="774"/>
        <w:gridCol w:w="351"/>
        <w:gridCol w:w="75"/>
        <w:gridCol w:w="478"/>
        <w:gridCol w:w="176"/>
        <w:gridCol w:w="500"/>
        <w:gridCol w:w="34"/>
        <w:gridCol w:w="190"/>
        <w:gridCol w:w="356"/>
        <w:gridCol w:w="544"/>
        <w:gridCol w:w="40"/>
        <w:gridCol w:w="496"/>
        <w:gridCol w:w="364"/>
        <w:gridCol w:w="7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exact"/>
        </w:trPr>
        <w:tc>
          <w:tcPr>
            <w:tcW w:w="13140" w:type="dxa"/>
            <w:gridSpan w:val="39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一、住房城乡建设部门任务分解表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exac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序号</w:t>
            </w:r>
          </w:p>
        </w:tc>
        <w:tc>
          <w:tcPr>
            <w:tcW w:w="12606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任务内容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606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加快城镇污水处理设施建设与改造。</w:t>
            </w:r>
            <w:r>
              <w:rPr>
                <w:rStyle w:val="5"/>
                <w:rFonts w:hint="default" w:hAnsi="宋体"/>
              </w:rPr>
              <w:t>到2020年，全区所有县城和重点镇具备污水收集处理能力，县城、城市污水处理率分别达到85%、95%。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到2017年，银川市建成区污水基本实现全收集、全处理，其他地级城市建成区于2020年年底前基本实现。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2015年底城镇污水处理设施（34个）</w:t>
            </w:r>
          </w:p>
        </w:tc>
        <w:tc>
          <w:tcPr>
            <w:tcW w:w="8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2016年改造（16个）</w:t>
            </w:r>
          </w:p>
        </w:tc>
        <w:tc>
          <w:tcPr>
            <w:tcW w:w="89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2017年改造（17个)</w:t>
            </w:r>
          </w:p>
        </w:tc>
        <w:tc>
          <w:tcPr>
            <w:tcW w:w="1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</w:t>
            </w:r>
          </w:p>
        </w:tc>
        <w:tc>
          <w:tcPr>
            <w:tcW w:w="1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</w:t>
            </w:r>
          </w:p>
        </w:tc>
        <w:tc>
          <w:tcPr>
            <w:tcW w:w="1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6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新建污水设施（2个）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污水收集率（%）</w:t>
            </w:r>
          </w:p>
        </w:tc>
        <w:tc>
          <w:tcPr>
            <w:tcW w:w="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新建污水设施（4个）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污水收集率（%）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新建污水设施（2个）</w:t>
            </w: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污水收集率（%）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新建污水设施（个）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污水收集率（%）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新建污水设施（个）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污水收集率（%）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94</w:t>
            </w:r>
          </w:p>
        </w:tc>
        <w:tc>
          <w:tcPr>
            <w:tcW w:w="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  <w:tc>
          <w:tcPr>
            <w:tcW w:w="1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ascii="Arial" w:hAnsi="Arial" w:cs="Arial"/>
                <w:sz w:val="24"/>
              </w:rPr>
              <w:t>−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  <w:tc>
          <w:tcPr>
            <w:tcW w:w="1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−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−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88</w:t>
            </w:r>
          </w:p>
        </w:tc>
        <w:tc>
          <w:tcPr>
            <w:tcW w:w="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92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94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87</w:t>
            </w:r>
          </w:p>
        </w:tc>
        <w:tc>
          <w:tcPr>
            <w:tcW w:w="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92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94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87</w:t>
            </w:r>
          </w:p>
        </w:tc>
        <w:tc>
          <w:tcPr>
            <w:tcW w:w="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92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94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86</w:t>
            </w:r>
          </w:p>
        </w:tc>
        <w:tc>
          <w:tcPr>
            <w:tcW w:w="9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92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94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12606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推进污泥处理处置。</w:t>
            </w:r>
            <w:r>
              <w:rPr>
                <w:rStyle w:val="5"/>
                <w:rFonts w:hint="default" w:hAnsi="宋体"/>
              </w:rPr>
              <w:t>现有2个污泥处理处置设施应于2017年年底前基本完成达标改造，5个地级市污泥无害化处理处置率应于2020年底前达到90%以上。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23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现有污泥处理设施</w:t>
            </w:r>
          </w:p>
        </w:tc>
        <w:tc>
          <w:tcPr>
            <w:tcW w:w="19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</w:t>
            </w:r>
          </w:p>
        </w:tc>
        <w:tc>
          <w:tcPr>
            <w:tcW w:w="21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</w:t>
            </w: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</w:t>
            </w:r>
          </w:p>
        </w:tc>
        <w:tc>
          <w:tcPr>
            <w:tcW w:w="2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数量（个）</w:t>
            </w: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达标数量（个）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改造（个)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改造（个)</w:t>
            </w: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无害化处理率（%）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100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0</w:t>
            </w: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0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91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0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96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0</w:t>
            </w:r>
          </w:p>
        </w:tc>
        <w:tc>
          <w:tcPr>
            <w:tcW w:w="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87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12606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促进再生水利用。</w:t>
            </w:r>
            <w:r>
              <w:rPr>
                <w:rStyle w:val="5"/>
                <w:rFonts w:hint="default" w:hAnsi="宋体"/>
              </w:rPr>
              <w:t>到2017年底，全区共建成20座再生水利用设施。到2020年，全区再生水利用率达到25%以上。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现有再生水利用设施（个）</w:t>
            </w:r>
          </w:p>
        </w:tc>
        <w:tc>
          <w:tcPr>
            <w:tcW w:w="2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</w:t>
            </w:r>
          </w:p>
        </w:tc>
        <w:tc>
          <w:tcPr>
            <w:tcW w:w="17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</w:t>
            </w:r>
          </w:p>
        </w:tc>
        <w:tc>
          <w:tcPr>
            <w:tcW w:w="21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</w:t>
            </w:r>
          </w:p>
        </w:tc>
        <w:tc>
          <w:tcPr>
            <w:tcW w:w="2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</w:t>
            </w:r>
          </w:p>
        </w:tc>
        <w:tc>
          <w:tcPr>
            <w:tcW w:w="2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利用率(%)</w:t>
            </w:r>
          </w:p>
        </w:tc>
        <w:tc>
          <w:tcPr>
            <w:tcW w:w="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新建（个）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利用率(%)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产生再生水（吨）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利用率(%)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产生再生水（吨）</w:t>
            </w: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利用率(%)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产生再生水（吨）</w:t>
            </w: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利用率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24</w:t>
            </w:r>
          </w:p>
        </w:tc>
        <w:tc>
          <w:tcPr>
            <w:tcW w:w="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22</w:t>
            </w:r>
          </w:p>
        </w:tc>
        <w:tc>
          <w:tcPr>
            <w:tcW w:w="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21</w:t>
            </w:r>
          </w:p>
        </w:tc>
        <w:tc>
          <w:tcPr>
            <w:tcW w:w="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25</w:t>
            </w:r>
          </w:p>
        </w:tc>
        <w:tc>
          <w:tcPr>
            <w:tcW w:w="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0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25</w:t>
            </w:r>
          </w:p>
        </w:tc>
        <w:tc>
          <w:tcPr>
            <w:tcW w:w="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</w:t>
            </w:r>
          </w:p>
        </w:tc>
        <w:tc>
          <w:tcPr>
            <w:tcW w:w="12606" w:type="dxa"/>
            <w:gridSpan w:val="3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加强城镇节水。</w:t>
            </w:r>
            <w:r>
              <w:rPr>
                <w:rStyle w:val="5"/>
                <w:rFonts w:hint="default" w:hAnsi="宋体"/>
              </w:rPr>
              <w:t>对使用超过50年和材质落后的供水管网进行更新改造，到2017年，全区公共供水管网漏损率控制在12%以内；到2020年，控制在10%以内。到2020年，5个地级市全部达到国家节水型城市标准要求。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16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使用超过50年和材质落后的供水管网（千米）</w:t>
            </w:r>
          </w:p>
        </w:tc>
        <w:tc>
          <w:tcPr>
            <w:tcW w:w="1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</w:t>
            </w:r>
          </w:p>
        </w:tc>
        <w:tc>
          <w:tcPr>
            <w:tcW w:w="19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</w:t>
            </w:r>
          </w:p>
        </w:tc>
        <w:tc>
          <w:tcPr>
            <w:tcW w:w="111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2016年达到国家节水型城市标准的市</w:t>
            </w:r>
          </w:p>
        </w:tc>
        <w:tc>
          <w:tcPr>
            <w:tcW w:w="12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2017年达到国家节水型城市标准的市</w:t>
            </w:r>
          </w:p>
        </w:tc>
        <w:tc>
          <w:tcPr>
            <w:tcW w:w="11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2018年达到国家节水型城市标准的市</w:t>
            </w:r>
          </w:p>
        </w:tc>
        <w:tc>
          <w:tcPr>
            <w:tcW w:w="116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2019年达到国家节水型城市标准的市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2020年达到国家节水型城市标准的市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62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更新改造(千米）</w:t>
            </w:r>
          </w:p>
        </w:tc>
        <w:tc>
          <w:tcPr>
            <w:tcW w:w="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漏损率控制率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更新改造(千米）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漏损率控制率</w:t>
            </w:r>
          </w:p>
        </w:tc>
        <w:tc>
          <w:tcPr>
            <w:tcW w:w="111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64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10.5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10.4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达标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11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10.8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达标</w:t>
            </w:r>
          </w:p>
        </w:tc>
        <w:tc>
          <w:tcPr>
            <w:tcW w:w="1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10.3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10.3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达标</w:t>
            </w:r>
          </w:p>
        </w:tc>
        <w:tc>
          <w:tcPr>
            <w:tcW w:w="1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10.8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10.6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达标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exac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12.2</w:t>
            </w:r>
          </w:p>
        </w:tc>
        <w:tc>
          <w:tcPr>
            <w:tcW w:w="1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12.0</w:t>
            </w:r>
          </w:p>
        </w:tc>
        <w:tc>
          <w:tcPr>
            <w:tcW w:w="11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达标</w:t>
            </w:r>
          </w:p>
        </w:tc>
      </w:tr>
    </w:tbl>
    <w:p>
      <w:pPr>
        <w:rPr>
          <w:rFonts w:hint="eastAsia" w:ascii="仿宋_GB2312" w:hAnsi="宋体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二、水利部门任务分解表</w:t>
      </w:r>
    </w:p>
    <w:tbl>
      <w:tblPr>
        <w:tblStyle w:val="3"/>
        <w:tblW w:w="135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900"/>
        <w:gridCol w:w="1260"/>
        <w:gridCol w:w="419"/>
        <w:gridCol w:w="661"/>
        <w:gridCol w:w="180"/>
        <w:gridCol w:w="1002"/>
        <w:gridCol w:w="438"/>
        <w:gridCol w:w="720"/>
        <w:gridCol w:w="540"/>
        <w:gridCol w:w="286"/>
        <w:gridCol w:w="974"/>
        <w:gridCol w:w="585"/>
        <w:gridCol w:w="567"/>
        <w:gridCol w:w="108"/>
        <w:gridCol w:w="1080"/>
        <w:gridCol w:w="655"/>
        <w:gridCol w:w="284"/>
        <w:gridCol w:w="281"/>
        <w:gridCol w:w="1022"/>
        <w:gridCol w:w="10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序号</w:t>
            </w:r>
          </w:p>
        </w:tc>
        <w:tc>
          <w:tcPr>
            <w:tcW w:w="1298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任务内容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exac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2984" w:type="dxa"/>
            <w:gridSpan w:val="2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实施最严格水资源管理。</w:t>
            </w:r>
            <w:r>
              <w:rPr>
                <w:rFonts w:hint="eastAsia" w:ascii="仿宋_GB2312" w:hAnsi="宋体" w:eastAsia="仿宋_GB2312" w:cs="仿宋_GB2312"/>
                <w:sz w:val="24"/>
              </w:rPr>
              <w:t>2016年年底前，建立自治区重点监控用水单位名录。到2020年，全区用水总量控制在73.27亿立方米以内。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8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2016年年底前，重点监控用水单位数量及名录。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2016年底，用水量（亿立方米）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2017年底，用水量（亿立方米）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2018年底，用水量（亿立方米）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2019年底，用水量（亿立方米）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2020年底，用水量（亿立方米）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39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19.35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19.35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19.40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19.40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19.40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74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10.6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10.6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10.65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10.65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46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16.9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16.9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16.95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16.95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16.95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1.89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1.89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2.01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2.01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27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13.21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13.21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13.26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13.26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13.26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宁东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2.14</w:t>
            </w: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2.14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2.37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2.37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2.37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</w:t>
            </w:r>
          </w:p>
        </w:tc>
        <w:tc>
          <w:tcPr>
            <w:tcW w:w="1298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完善节水型社会考核指标体系。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到2020年，全区万元地区生产总值用水量、万元工业增加值用水量比2013年分别下降35%和25%以上。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2016年，万元增加值用水量下降比例（%）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2017年，万元增加值用水量下降比例（%）</w:t>
            </w: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2018年，万元增加值用水量下降比例（%）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2019年，万元增加值用水量下降比例（%）</w:t>
            </w: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2020年，万元增加值用水量下降比例（%）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宁东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3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</w:t>
            </w:r>
          </w:p>
        </w:tc>
        <w:tc>
          <w:tcPr>
            <w:tcW w:w="1298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发展农业节水。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到2020年，全区高效节水灌溉面积达到400万亩左右，农田灌溉水有效利用系数达到0.53以上。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2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</w:t>
            </w:r>
          </w:p>
        </w:tc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</w:t>
            </w:r>
          </w:p>
        </w:tc>
        <w:tc>
          <w:tcPr>
            <w:tcW w:w="2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</w:t>
            </w:r>
          </w:p>
        </w:tc>
        <w:tc>
          <w:tcPr>
            <w:tcW w:w="2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</w:t>
            </w:r>
          </w:p>
        </w:tc>
        <w:tc>
          <w:tcPr>
            <w:tcW w:w="2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高效节水灌溉面积（万亩）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农田灌溉水有效利用系数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高效节水灌溉面积（万亩）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农田灌溉水有效利用系数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高效节水灌溉面积（万亩）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农田灌溉水有效利用系数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高效节水灌溉面积（万亩）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农田灌溉水有效利用系数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高效节水灌溉面积（万亩）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农田灌溉水有效利用系数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54.2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60.2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66.2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72.2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78.2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15.6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17.6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19.6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21.6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23.6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66.9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76.9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86.9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96.9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106.9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57.3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59.3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61.3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63.3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65.3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49.9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59.4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68.9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78.4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87.9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农垦局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20.1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24.6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29.1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33.6</w:t>
            </w:r>
          </w:p>
        </w:tc>
        <w:tc>
          <w:tcPr>
            <w:tcW w:w="1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38.1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仿宋_GB2312"/>
          <w:sz w:val="24"/>
        </w:rPr>
      </w:pPr>
    </w:p>
    <w:tbl>
      <w:tblPr>
        <w:tblStyle w:val="3"/>
        <w:tblpPr w:leftFromText="180" w:rightFromText="180" w:vertAnchor="text" w:horzAnchor="margin" w:tblpXSpec="center" w:tblpY="114"/>
        <w:tblOverlap w:val="never"/>
        <w:tblW w:w="140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15"/>
        <w:gridCol w:w="900"/>
        <w:gridCol w:w="720"/>
        <w:gridCol w:w="900"/>
        <w:gridCol w:w="900"/>
        <w:gridCol w:w="720"/>
        <w:gridCol w:w="900"/>
        <w:gridCol w:w="900"/>
        <w:gridCol w:w="720"/>
        <w:gridCol w:w="900"/>
        <w:gridCol w:w="900"/>
        <w:gridCol w:w="720"/>
        <w:gridCol w:w="900"/>
        <w:gridCol w:w="900"/>
        <w:gridCol w:w="720"/>
        <w:gridCol w:w="9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14055" w:type="dxa"/>
            <w:gridSpan w:val="17"/>
            <w:noWrap w:val="0"/>
            <w:vAlign w:val="center"/>
          </w:tcPr>
          <w:p>
            <w:pPr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</w:rPr>
              <w:t>三、农牧部门任务分解表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序号</w:t>
            </w:r>
          </w:p>
        </w:tc>
        <w:tc>
          <w:tcPr>
            <w:tcW w:w="135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任务内容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351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控制农业面源污染。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制定实施全区农业面源污染综合防治方案。到2020年，测土配方施肥技术推广覆盖率达到90%以上，化肥利用率提高到40%以上，农作物病虫害统防统治覆盖率达到40%以上。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地级市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2016年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2017年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2018年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2019年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2020年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测土配方施肥技术推广覆盖率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化肥利用率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农作物病虫害统防统治覆盖率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测土配方施肥技术推广覆盖率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化肥利用率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农作物病虫害统防统治覆盖率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测土配方施肥技术推广覆盖率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化肥利用率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农作物病虫害统防统治覆盖率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测土配方施肥技术推广覆盖率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化肥利用率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农作物病虫害统防统治覆盖率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测土配方施肥技术推广覆盖率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化肥利用率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农作物病虫害统防统治覆盖率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银川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86%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38%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42%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88%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吴忠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33%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31%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86%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36%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88%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38%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42%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石嘴山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96%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28%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33%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36%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41%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92%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38%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43%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中卫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32%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23%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36%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92%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38%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92%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固原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85%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86%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36%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25%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88%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32%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宁东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78%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33%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36%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26%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84%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38%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27%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87%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39%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33%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40%</w:t>
            </w:r>
          </w:p>
        </w:tc>
      </w:tr>
    </w:tbl>
    <w:p>
      <w:pPr>
        <w:pStyle w:val="2"/>
        <w:adjustRightInd w:val="0"/>
        <w:snapToGrid w:val="0"/>
        <w:spacing w:after="0" w:line="56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8" w:right="2041" w:bottom="1474" w:left="1701" w:header="851" w:footer="992" w:gutter="0"/>
          <w:cols w:space="720" w:num="1"/>
          <w:titlePg/>
          <w:docGrid w:linePitch="312" w:charSpace="0"/>
        </w:sectPr>
      </w:pPr>
    </w:p>
    <w:p>
      <w:pPr>
        <w:rPr>
          <w:rFonts w:hint="eastAsia" w:eastAsia="仿宋_GB2312"/>
          <w:sz w:val="32"/>
          <w:szCs w:val="32"/>
          <w:lang w:val="en-GB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513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2019-03-21T08:38:17Z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