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B" w:rsidRDefault="00F363AB" w:rsidP="00F363AB">
      <w:pPr>
        <w:widowControl w:val="0"/>
        <w:spacing w:line="620" w:lineRule="exact"/>
        <w:jc w:val="center"/>
        <w:rPr>
          <w:rFonts w:ascii="方正小标宋简体" w:eastAsia="方正小标宋简体" w:hAnsi="Arial" w:cs="Arial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宁夏回族自治区城镇土地使用税实施办法</w:t>
      </w:r>
      <w:bookmarkEnd w:id="0"/>
    </w:p>
    <w:p w:rsidR="00F363AB" w:rsidRDefault="00F363AB" w:rsidP="00F363AB">
      <w:pPr>
        <w:widowControl w:val="0"/>
        <w:spacing w:line="620" w:lineRule="exact"/>
        <w:jc w:val="left"/>
        <w:rPr>
          <w:rFonts w:ascii="Arial" w:hAnsi="Arial" w:cs="Arial"/>
          <w:color w:val="000000"/>
          <w:szCs w:val="21"/>
        </w:rPr>
      </w:pP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 w:rsidRPr="003F7EC2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第一条</w:t>
      </w:r>
      <w:bookmarkStart w:id="1" w:name="1"/>
      <w:bookmarkEnd w:id="1"/>
      <w:r w:rsidRPr="005C3745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根据《中华人民共和国税收征收管理法》《中华人民共和国城镇土地使用税暂行条例》及有关法律、法规规定，结合我区实际，制定本实施办法。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int="eastAsia"/>
          <w:sz w:val="32"/>
          <w:szCs w:val="32"/>
        </w:rPr>
      </w:pPr>
      <w:r w:rsidRPr="005C3745">
        <w:rPr>
          <w:rFonts w:ascii="黑体" w:eastAsia="黑体" w:hAnsi="黑体" w:hint="eastAsia"/>
          <w:bCs/>
          <w:smallCaps/>
          <w:sz w:val="32"/>
          <w:szCs w:val="32"/>
        </w:rPr>
        <w:t>第二条</w:t>
      </w:r>
      <w:bookmarkStart w:id="2" w:name="2"/>
      <w:bookmarkEnd w:id="2"/>
      <w:r w:rsidRPr="003F7EC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凡在我区城市、县城、建制镇、工矿区(包括各类开发区、各类园区)范围内使用土地的单位和个人，为城镇土地使用税的纳税人，应当依照本办法的规定缴纳城镇土地使用税。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城市、县城、建制镇和工矿区的具体征税范围，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由自治区人民政府批准。</w:t>
      </w:r>
    </w:p>
    <w:p w:rsidR="00F363AB" w:rsidRDefault="00F363AB" w:rsidP="00F363AB">
      <w:pPr>
        <w:pStyle w:val="a3"/>
        <w:spacing w:line="620" w:lineRule="exact"/>
        <w:ind w:firstLineChars="196" w:firstLine="627"/>
        <w:rPr>
          <w:rFonts w:ascii="仿宋_GB2312" w:eastAsia="仿宋_GB2312" w:hAnsi="Arial" w:hint="eastAsia"/>
          <w:sz w:val="32"/>
          <w:szCs w:val="32"/>
        </w:rPr>
      </w:pPr>
      <w:r w:rsidRPr="005C3745">
        <w:rPr>
          <w:rFonts w:ascii="黑体" w:eastAsia="黑体" w:hAnsi="黑体" w:hint="eastAsia"/>
          <w:bCs/>
          <w:smallCaps/>
          <w:sz w:val="32"/>
          <w:szCs w:val="32"/>
        </w:rPr>
        <w:t>第三条</w:t>
      </w:r>
      <w:bookmarkStart w:id="3" w:name="3"/>
      <w:bookmarkEnd w:id="3"/>
      <w:r w:rsidRPr="003F7EC2">
        <w:rPr>
          <w:rFonts w:ascii="仿宋_GB2312" w:eastAsia="仿宋_GB2312" w:hAnsi="Arial" w:hint="eastAsia"/>
          <w:sz w:val="32"/>
          <w:szCs w:val="32"/>
        </w:rPr>
        <w:t xml:space="preserve"> </w:t>
      </w:r>
      <w:r>
        <w:rPr>
          <w:rFonts w:ascii="仿宋_GB2312" w:eastAsia="仿宋_GB2312" w:hAnsi="Arial" w:hint="eastAsia"/>
          <w:sz w:val="32"/>
          <w:szCs w:val="32"/>
        </w:rPr>
        <w:t xml:space="preserve"> 城镇土地使用税由土地所在地的地方税务机关征收，未设立地方税务机关的市、县(区)由土地所在地的国家税务机关征收(下同)。</w:t>
      </w:r>
    </w:p>
    <w:p w:rsidR="00F363AB" w:rsidRDefault="00F363AB" w:rsidP="00F363AB">
      <w:pPr>
        <w:pStyle w:val="a3"/>
        <w:spacing w:before="0" w:beforeAutospacing="0" w:after="0" w:afterAutospacing="0" w:line="620" w:lineRule="exact"/>
        <w:ind w:firstLineChars="196" w:firstLine="627"/>
        <w:rPr>
          <w:rFonts w:ascii="仿宋_GB2312" w:eastAsia="仿宋_GB2312" w:hAnsi="Arial" w:hint="eastAsia"/>
          <w:sz w:val="32"/>
          <w:szCs w:val="32"/>
        </w:rPr>
      </w:pPr>
      <w:r>
        <w:rPr>
          <w:rFonts w:ascii="仿宋_GB2312" w:eastAsia="仿宋_GB2312" w:hAnsi="Arial" w:hint="eastAsia"/>
          <w:sz w:val="32"/>
          <w:szCs w:val="32"/>
        </w:rPr>
        <w:t>纳税人跨市、县(区)使用土地的，由纳税人分别向土地所在地的主管税务机关缴纳城镇土地使用税。</w:t>
      </w:r>
    </w:p>
    <w:p w:rsidR="00F363AB" w:rsidRDefault="00F363AB" w:rsidP="00F363AB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第四条</w:t>
      </w:r>
      <w:bookmarkStart w:id="4" w:name="4"/>
      <w:bookmarkEnd w:id="4"/>
      <w:r w:rsidRPr="003F7EC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城镇土地使用税以纳税人实际占用的土地面积为计税依据，实际占用的土地</w:t>
      </w:r>
      <w:r>
        <w:rPr>
          <w:rFonts w:ascii="仿宋_GB2312" w:eastAsia="仿宋_GB2312" w:hAnsi="Arial" w:cs="Arial" w:hint="eastAsia"/>
          <w:sz w:val="32"/>
          <w:szCs w:val="32"/>
        </w:rPr>
        <w:t>面积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按下列办法确定：</w:t>
      </w:r>
    </w:p>
    <w:p w:rsidR="00F363AB" w:rsidRDefault="00F363AB" w:rsidP="00F363AB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（一）凡纳税人持有县(含县)以上人民政府核发的土地使用证书的，以证书确认的土地面积为计税依据；</w:t>
      </w:r>
    </w:p>
    <w:p w:rsidR="00F363AB" w:rsidRDefault="00F363AB" w:rsidP="00F363AB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（二）对尚未核发土地使用证书的，以县(含县)以上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人民政府批准征用土地文件所确认的土地面积为计税依据；</w:t>
      </w:r>
    </w:p>
    <w:p w:rsidR="00F363AB" w:rsidRDefault="00F363AB" w:rsidP="00F363AB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（三）既无土地使用证书又无征用土地批准文件的，暂由纳税人按实际使用面积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据实向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当地主管税务机关申报，经主管税务机关核实确认后计征城镇土地使用税；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待土地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测量或核发土地使用证后，再按实际占用面积进行调整。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宋体" w:cs="Arial" w:hint="eastAsia"/>
          <w:b/>
          <w:bCs/>
          <w:smallCaps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第五条</w:t>
      </w:r>
      <w:bookmarkStart w:id="5" w:name="5"/>
      <w:bookmarkEnd w:id="5"/>
      <w:r w:rsidRPr="003F7EC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城镇土地使用税的适用税额标准，由各市、县人民政府依照本办法所附《宁夏回族自治区城镇土地使用税税额表》确定的税额幅度制定，并报自治区人民政府批准执行。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第六条</w:t>
      </w:r>
      <w:bookmarkStart w:id="6" w:name="6"/>
      <w:bookmarkEnd w:id="6"/>
      <w:r w:rsidRPr="003F7EC2"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除《中华人民共和国城镇土地使用税暂行条例》第六条规定外，纳税人缴纳城镇土地使用税确有困难需要定期减税免税的，按《宁夏回族自治区地方税收减免管理暂行办法》的有关规定办理。</w:t>
      </w:r>
    </w:p>
    <w:p w:rsidR="00F363AB" w:rsidRDefault="00F363AB" w:rsidP="00F363AB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其他情形需要定期减税免税的，依据《中华人民共和国民族区域自治法》由自治区人民政府确定。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第七条</w:t>
      </w:r>
      <w:bookmarkStart w:id="7" w:name="7"/>
      <w:bookmarkEnd w:id="7"/>
      <w:r>
        <w:rPr>
          <w:rFonts w:ascii="仿宋_GB2312" w:eastAsia="仿宋_GB2312" w:hAnsi="宋体" w:cs="Arial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城镇土地使用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税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按年计算、分季缴纳。分季缴纳的税款应于季度终了后15日内缴纳入库，入库期限最后一日如遇法定节假日可向后顺延。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年应纳城镇土地使用税额在</w:t>
      </w:r>
      <w:r>
        <w:rPr>
          <w:rFonts w:ascii="仿宋_GB2312" w:eastAsia="仿宋_GB2312" w:hint="eastAsia"/>
          <w:sz w:val="32"/>
          <w:szCs w:val="32"/>
        </w:rPr>
        <w:t>10000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元（含</w:t>
      </w:r>
      <w:r>
        <w:rPr>
          <w:rFonts w:ascii="仿宋_GB2312" w:eastAsia="仿宋_GB2312" w:hint="eastAsia"/>
          <w:sz w:val="32"/>
          <w:szCs w:val="32"/>
        </w:rPr>
        <w:t>10000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元）以下的纳税人，</w:t>
      </w:r>
      <w:r>
        <w:rPr>
          <w:rFonts w:ascii="仿宋_GB2312" w:eastAsia="仿宋_GB2312" w:hint="eastAsia"/>
          <w:sz w:val="32"/>
        </w:rPr>
        <w:t>纳税人可以自愿采取全年一次性申报纳税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lastRenderedPageBreak/>
        <w:t>缴纳时间为每年第一季度终了后15日内，入库期限最后一日如遇法定节假日可向后顺延。</w:t>
      </w:r>
    </w:p>
    <w:p w:rsidR="00F363AB" w:rsidRDefault="00F363AB" w:rsidP="00F363AB">
      <w:pPr>
        <w:widowControl w:val="0"/>
        <w:tabs>
          <w:tab w:val="left" w:pos="420"/>
          <w:tab w:val="left" w:pos="9240"/>
        </w:tabs>
        <w:spacing w:line="62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第八条</w:t>
      </w:r>
      <w:bookmarkStart w:id="8" w:name="8"/>
      <w:bookmarkEnd w:id="8"/>
      <w:r w:rsidRPr="003F7EC2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各级土地管理机关应当向税务机关提供有关土地属性信息、土地空间等信息资料，配合税务机关做好城镇土地使用税的征收管理工作。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bCs/>
          <w:smallCaps/>
          <w:color w:val="000000"/>
          <w:sz w:val="32"/>
          <w:szCs w:val="32"/>
        </w:rPr>
        <w:t>第九条</w:t>
      </w:r>
      <w:bookmarkStart w:id="9" w:name="9"/>
      <w:bookmarkEnd w:id="9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城镇土地使用税的征收管理，依照《中华人民共和国税收征收管理法》及《中华人民共和国城镇土地使用税暂行条例》及有关规定执行。</w:t>
      </w:r>
    </w:p>
    <w:p w:rsidR="00F363AB" w:rsidRDefault="00F363AB" w:rsidP="00F363AB">
      <w:pPr>
        <w:widowControl w:val="0"/>
        <w:spacing w:line="620" w:lineRule="exact"/>
        <w:ind w:firstLineChars="196" w:firstLine="627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5C3745">
        <w:rPr>
          <w:rFonts w:ascii="黑体" w:eastAsia="黑体" w:hAnsi="黑体" w:cs="Arial" w:hint="eastAsia"/>
          <w:color w:val="000000"/>
          <w:sz w:val="32"/>
          <w:szCs w:val="32"/>
        </w:rPr>
        <w:t>第十条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本办法自2018年1月1日起执行。《宁夏回族自治区城镇土地使用税实施办法》（宁政发〔2007〕64号）同时废止。</w:t>
      </w:r>
    </w:p>
    <w:p w:rsidR="00F363AB" w:rsidRDefault="00F363AB" w:rsidP="00F363AB">
      <w:pPr>
        <w:widowControl w:val="0"/>
        <w:spacing w:line="620" w:lineRule="exact"/>
        <w:rPr>
          <w:rFonts w:ascii="仿宋_GB2312" w:eastAsia="仿宋_GB2312"/>
          <w:sz w:val="28"/>
        </w:rPr>
      </w:pPr>
    </w:p>
    <w:p w:rsidR="00F363AB" w:rsidRPr="00991E3A" w:rsidRDefault="00F363AB" w:rsidP="00F363AB">
      <w:pPr>
        <w:widowControl w:val="0"/>
        <w:spacing w:line="620" w:lineRule="exact"/>
        <w:ind w:leftChars="136" w:left="286" w:firstLineChars="98" w:firstLine="314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991E3A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附件：城镇土地使用税税额表</w:t>
      </w: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363AB" w:rsidRDefault="00F363AB" w:rsidP="00F363AB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363AB" w:rsidRDefault="00F363AB" w:rsidP="00F363AB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363AB" w:rsidRPr="007C042B" w:rsidRDefault="00F363AB" w:rsidP="00F363AB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363AB" w:rsidRDefault="00F363AB" w:rsidP="00F363AB">
      <w:pPr>
        <w:widowControl w:val="0"/>
        <w:spacing w:line="620" w:lineRule="exact"/>
        <w:rPr>
          <w:rFonts w:ascii="黑体" w:eastAsia="黑体" w:hAnsi="黑体" w:hint="eastAsia"/>
          <w:sz w:val="32"/>
          <w:szCs w:val="32"/>
        </w:rPr>
      </w:pPr>
    </w:p>
    <w:p w:rsidR="00F363AB" w:rsidRDefault="00F363AB" w:rsidP="00F363AB">
      <w:pPr>
        <w:widowControl w:val="0"/>
        <w:spacing w:line="620" w:lineRule="exact"/>
        <w:rPr>
          <w:rFonts w:ascii="黑体" w:eastAsia="黑体" w:hAnsi="黑体" w:hint="eastAsia"/>
          <w:sz w:val="32"/>
          <w:szCs w:val="32"/>
        </w:rPr>
      </w:pPr>
    </w:p>
    <w:p w:rsidR="00F363AB" w:rsidRDefault="00F363AB" w:rsidP="00F363AB">
      <w:pPr>
        <w:widowControl w:val="0"/>
        <w:spacing w:line="620" w:lineRule="exact"/>
        <w:rPr>
          <w:rFonts w:ascii="黑体" w:eastAsia="黑体" w:hAnsi="黑体" w:hint="eastAsia"/>
          <w:sz w:val="32"/>
          <w:szCs w:val="32"/>
        </w:rPr>
      </w:pPr>
    </w:p>
    <w:p w:rsidR="00F363AB" w:rsidRPr="00991E3A" w:rsidRDefault="00F363AB" w:rsidP="00F363AB">
      <w:pPr>
        <w:widowControl w:val="0"/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991E3A">
        <w:rPr>
          <w:rFonts w:ascii="黑体" w:eastAsia="黑体" w:hAnsi="黑体" w:hint="eastAsia"/>
          <w:sz w:val="32"/>
          <w:szCs w:val="32"/>
        </w:rPr>
        <w:t>附件</w:t>
      </w:r>
    </w:p>
    <w:p w:rsidR="00F363AB" w:rsidRDefault="00F363AB" w:rsidP="00F363AB">
      <w:pPr>
        <w:widowControl w:val="0"/>
        <w:spacing w:line="620" w:lineRule="exact"/>
        <w:rPr>
          <w:rFonts w:ascii="仿宋_GB2312" w:eastAsia="仿宋_GB2312" w:hint="eastAsia"/>
          <w:sz w:val="28"/>
        </w:rPr>
      </w:pPr>
    </w:p>
    <w:p w:rsidR="00F363AB" w:rsidRDefault="00F363AB" w:rsidP="00F363AB">
      <w:pPr>
        <w:wordWrap w:val="0"/>
        <w:spacing w:after="225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城镇土地使用税税额表</w:t>
      </w:r>
    </w:p>
    <w:tbl>
      <w:tblPr>
        <w:tblW w:w="88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3793"/>
        <w:gridCol w:w="3378"/>
      </w:tblGrid>
      <w:tr w:rsidR="00F363AB" w:rsidTr="00F80AF6">
        <w:trPr>
          <w:tblCellSpacing w:w="0" w:type="dxa"/>
          <w:jc w:val="center"/>
        </w:trPr>
        <w:tc>
          <w:tcPr>
            <w:tcW w:w="1704" w:type="dxa"/>
            <w:vAlign w:val="center"/>
          </w:tcPr>
          <w:p w:rsidR="00F363AB" w:rsidRDefault="00F363AB" w:rsidP="00F80A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0" w:name="OLE_LINK1"/>
            <w:r>
              <w:rPr>
                <w:rFonts w:ascii="宋体" w:hAnsi="宋体" w:cs="宋体" w:hint="eastAsia"/>
                <w:sz w:val="24"/>
              </w:rPr>
              <w:t>地区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地段等级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税额标准（元/平方米）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银川市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12-24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9-18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永宁县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贺兰县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灵武市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石嘴山市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8-20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6-18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2-8</w:t>
            </w:r>
          </w:p>
        </w:tc>
      </w:tr>
      <w:tr w:rsidR="00F363AB" w:rsidTr="00F80AF6">
        <w:trPr>
          <w:trHeight w:val="158"/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平罗县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rHeight w:val="157"/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吴忠市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同心县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红寺堡开发区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青铜峡市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6-15</w:t>
            </w:r>
          </w:p>
        </w:tc>
      </w:tr>
      <w:tr w:rsidR="00F363AB" w:rsidTr="00F80AF6">
        <w:trPr>
          <w:trHeight w:val="275"/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ind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盐池县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中卫市</w:t>
            </w:r>
            <w:proofErr w:type="gramEnd"/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5-15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中宁县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海原县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固原市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4-12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2-6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西吉县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隆德县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泾源县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 w:val="restart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彭阳县</w:t>
            </w: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3-9</w:t>
            </w:r>
          </w:p>
        </w:tc>
      </w:tr>
      <w:tr w:rsidR="00F363AB" w:rsidTr="00F80AF6">
        <w:trPr>
          <w:tblCellSpacing w:w="0" w:type="dxa"/>
          <w:jc w:val="center"/>
        </w:trPr>
        <w:tc>
          <w:tcPr>
            <w:tcW w:w="1704" w:type="dxa"/>
            <w:vMerge/>
            <w:vAlign w:val="center"/>
          </w:tcPr>
          <w:p w:rsidR="00F363AB" w:rsidRDefault="00F363AB" w:rsidP="00F80A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793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二等地段</w:t>
            </w:r>
          </w:p>
        </w:tc>
        <w:tc>
          <w:tcPr>
            <w:tcW w:w="3378" w:type="dxa"/>
            <w:vAlign w:val="center"/>
          </w:tcPr>
          <w:p w:rsidR="00F363AB" w:rsidRDefault="00F363AB" w:rsidP="00F80AF6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1-3</w:t>
            </w:r>
          </w:p>
        </w:tc>
      </w:tr>
    </w:tbl>
    <w:bookmarkEnd w:id="10"/>
    <w:p w:rsidR="001A0100" w:rsidRDefault="00F363AB">
      <w:r>
        <w:rPr>
          <w:rFonts w:hint="eastAsia"/>
        </w:rPr>
        <w:t>注</w:t>
      </w:r>
      <w:r>
        <w:t>:</w:t>
      </w:r>
      <w:r>
        <w:rPr>
          <w:rFonts w:hint="eastAsia"/>
        </w:rPr>
        <w:t>各市、县在《宁夏回族自治区城镇土地使用税税额表》确定的税额幅度内，制定本行政区域的税额标准</w:t>
      </w:r>
    </w:p>
    <w:sectPr w:rsidR="001A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0"/>
    <w:rsid w:val="001A0100"/>
    <w:rsid w:val="00F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FAB6-07A0-4239-BFF0-73DEBB3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A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63AB"/>
    <w:pPr>
      <w:widowControl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丁力</dc:creator>
  <cp:keywords/>
  <dc:description/>
  <cp:lastModifiedBy>丁力</cp:lastModifiedBy>
  <cp:revision>2</cp:revision>
  <dcterms:created xsi:type="dcterms:W3CDTF">2017-10-17T07:49:00Z</dcterms:created>
  <dcterms:modified xsi:type="dcterms:W3CDTF">2017-10-17T07:50:00Z</dcterms:modified>
</cp:coreProperties>
</file>